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84A" w:rsidRPr="006069EB" w:rsidRDefault="007D784A" w:rsidP="007D784A">
      <w:pPr>
        <w:widowControl w:val="0"/>
        <w:rPr>
          <w:sz w:val="23"/>
          <w:szCs w:val="23"/>
        </w:rPr>
      </w:pPr>
      <w:r w:rsidRPr="006069EB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B8C4D" wp14:editId="73C23B17">
                <wp:simplePos x="0" y="0"/>
                <wp:positionH relativeFrom="column">
                  <wp:posOffset>0</wp:posOffset>
                </wp:positionH>
                <wp:positionV relativeFrom="paragraph">
                  <wp:posOffset>-342900</wp:posOffset>
                </wp:positionV>
                <wp:extent cx="909320" cy="933450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784A" w:rsidRDefault="007D784A" w:rsidP="007D784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EE99AE" wp14:editId="3F8A8D4A">
                                  <wp:extent cx="723900" cy="838200"/>
                                  <wp:effectExtent l="0" t="0" r="0" b="0"/>
                                  <wp:docPr id="5" name="Kép 5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7B8C4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0;margin-top:-27pt;width:71.6pt;height:73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" filled="f" stroked="f">
                <v:textbox style="mso-fit-shape-to-text:t">
                  <w:txbxContent>
                    <w:p w:rsidR="007D784A" w:rsidRDefault="007D784A" w:rsidP="007D784A">
                      <w:r>
                        <w:rPr>
                          <w:noProof/>
                        </w:rPr>
                        <w:drawing>
                          <wp:inline distT="0" distB="0" distL="0" distR="0" wp14:anchorId="3FEE99AE" wp14:editId="3F8A8D4A">
                            <wp:extent cx="723900" cy="838200"/>
                            <wp:effectExtent l="0" t="0" r="0" b="0"/>
                            <wp:docPr id="5" name="Kép 5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069EB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61C861" wp14:editId="2B512827">
                <wp:simplePos x="0" y="0"/>
                <wp:positionH relativeFrom="column">
                  <wp:posOffset>1424940</wp:posOffset>
                </wp:positionH>
                <wp:positionV relativeFrom="paragraph">
                  <wp:posOffset>-457200</wp:posOffset>
                </wp:positionV>
                <wp:extent cx="3543300" cy="1028700"/>
                <wp:effectExtent l="0" t="0" r="381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784A" w:rsidRPr="00624A63" w:rsidRDefault="007D784A" w:rsidP="007D784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24A63">
                              <w:rPr>
                                <w:sz w:val="28"/>
                                <w:szCs w:val="28"/>
                              </w:rPr>
                              <w:t>Ceglédi Közös Önkormányzati Hivatal</w:t>
                            </w:r>
                          </w:p>
                          <w:p w:rsidR="007D784A" w:rsidRPr="00624A63" w:rsidRDefault="007D784A" w:rsidP="007D784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24A63">
                              <w:rPr>
                                <w:sz w:val="28"/>
                                <w:szCs w:val="28"/>
                              </w:rPr>
                              <w:t>Jegyzőjétől</w:t>
                            </w:r>
                          </w:p>
                          <w:p w:rsidR="007D784A" w:rsidRDefault="007D784A" w:rsidP="007D784A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:rsidR="007D784A" w:rsidRDefault="007D784A" w:rsidP="007D784A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DE042A" w:rsidRDefault="00DE042A" w:rsidP="00DE042A">
                            <w:pPr>
                              <w:jc w:val="center"/>
                            </w:pPr>
                            <w:r>
                              <w:t>Tel.: 06/53-511-400., Fax.: 06/53-511-406</w:t>
                            </w:r>
                          </w:p>
                          <w:p w:rsidR="007D784A" w:rsidRDefault="007D784A" w:rsidP="007D78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1C861" id="Szövegdoboz 2" o:spid="_x0000_s1027" type="#_x0000_t202" style="position:absolute;margin-left:112.2pt;margin-top:-36pt;width:279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" filled="f" stroked="f">
                <v:textbox>
                  <w:txbxContent>
                    <w:p w:rsidR="007D784A" w:rsidRPr="00624A63" w:rsidRDefault="007D784A" w:rsidP="007D784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24A63">
                        <w:rPr>
                          <w:sz w:val="28"/>
                          <w:szCs w:val="28"/>
                        </w:rPr>
                        <w:t>Ceglédi Közös Önkormányzati Hivatal</w:t>
                      </w:r>
                    </w:p>
                    <w:p w:rsidR="007D784A" w:rsidRPr="00624A63" w:rsidRDefault="007D784A" w:rsidP="007D784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24A63">
                        <w:rPr>
                          <w:sz w:val="28"/>
                          <w:szCs w:val="28"/>
                        </w:rPr>
                        <w:t>Jegyzőjétől</w:t>
                      </w:r>
                    </w:p>
                    <w:p w:rsidR="007D784A" w:rsidRDefault="007D784A" w:rsidP="007D784A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:rsidR="007D784A" w:rsidRDefault="007D784A" w:rsidP="007D784A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DE042A" w:rsidRDefault="00DE042A" w:rsidP="00DE042A">
                      <w:pPr>
                        <w:jc w:val="center"/>
                      </w:pPr>
                      <w:r>
                        <w:t>Tel.: 06/53-511-400., Fax.: 06/53-511-406</w:t>
                      </w:r>
                    </w:p>
                    <w:p w:rsidR="007D784A" w:rsidRDefault="007D784A" w:rsidP="007D78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D784A" w:rsidRPr="006069EB" w:rsidRDefault="007D784A" w:rsidP="007D784A">
      <w:pPr>
        <w:widowControl w:val="0"/>
        <w:tabs>
          <w:tab w:val="left" w:pos="6495"/>
        </w:tabs>
        <w:rPr>
          <w:sz w:val="23"/>
          <w:szCs w:val="23"/>
        </w:rPr>
      </w:pPr>
    </w:p>
    <w:p w:rsidR="007D784A" w:rsidRPr="006069EB" w:rsidRDefault="007D784A" w:rsidP="007D784A">
      <w:pPr>
        <w:widowControl w:val="0"/>
        <w:tabs>
          <w:tab w:val="left" w:pos="6495"/>
        </w:tabs>
        <w:rPr>
          <w:sz w:val="23"/>
          <w:szCs w:val="23"/>
        </w:rPr>
      </w:pPr>
    </w:p>
    <w:p w:rsidR="007D784A" w:rsidRDefault="00DE042A">
      <w:r w:rsidRPr="006069EB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862179" wp14:editId="58BF0588">
                <wp:simplePos x="0" y="0"/>
                <wp:positionH relativeFrom="margin">
                  <wp:posOffset>0</wp:posOffset>
                </wp:positionH>
                <wp:positionV relativeFrom="paragraph">
                  <wp:posOffset>123825</wp:posOffset>
                </wp:positionV>
                <wp:extent cx="6219825" cy="0"/>
                <wp:effectExtent l="0" t="0" r="0" b="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3717A" id="Egyenes összekötő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9.75pt" to="489.7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">
                <w10:wrap anchorx="margin"/>
              </v:line>
            </w:pict>
          </mc:Fallback>
        </mc:AlternateContent>
      </w:r>
    </w:p>
    <w:p w:rsidR="00B8631E" w:rsidRDefault="00487FB6" w:rsidP="00B8631E">
      <w:pPr>
        <w:rPr>
          <w:sz w:val="21"/>
          <w:szCs w:val="21"/>
        </w:rPr>
      </w:pPr>
      <w:r>
        <w:rPr>
          <w:sz w:val="21"/>
          <w:szCs w:val="21"/>
        </w:rPr>
        <w:t>Iktatószám: C/………/2025</w:t>
      </w:r>
      <w:r w:rsidRPr="00FD2464">
        <w:rPr>
          <w:sz w:val="21"/>
          <w:szCs w:val="21"/>
        </w:rPr>
        <w:t>.</w:t>
      </w:r>
      <w:r w:rsidRPr="00FD2464"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</w:t>
      </w:r>
      <w:r w:rsidR="006B60B4">
        <w:rPr>
          <w:sz w:val="21"/>
          <w:szCs w:val="21"/>
        </w:rPr>
        <w:tab/>
      </w:r>
      <w:r w:rsidR="00DE042A">
        <w:rPr>
          <w:sz w:val="21"/>
          <w:szCs w:val="21"/>
        </w:rPr>
        <w:tab/>
      </w:r>
      <w:r w:rsidRPr="00FD2464">
        <w:rPr>
          <w:sz w:val="21"/>
          <w:szCs w:val="21"/>
          <w:u w:val="single"/>
        </w:rPr>
        <w:t>Tárgy</w:t>
      </w:r>
      <w:r w:rsidRPr="00FD2464">
        <w:rPr>
          <w:sz w:val="21"/>
          <w:szCs w:val="21"/>
        </w:rPr>
        <w:t xml:space="preserve">: </w:t>
      </w:r>
      <w:r>
        <w:rPr>
          <w:sz w:val="21"/>
          <w:szCs w:val="21"/>
        </w:rPr>
        <w:t xml:space="preserve">Javaslat </w:t>
      </w:r>
      <w:r w:rsidR="006B60B4">
        <w:rPr>
          <w:sz w:val="21"/>
          <w:szCs w:val="21"/>
        </w:rPr>
        <w:t xml:space="preserve">a 2026.évi </w:t>
      </w:r>
      <w:r>
        <w:rPr>
          <w:sz w:val="21"/>
          <w:szCs w:val="21"/>
        </w:rPr>
        <w:t>adók</w:t>
      </w:r>
      <w:r w:rsidR="006B60B4">
        <w:rPr>
          <w:sz w:val="21"/>
          <w:szCs w:val="21"/>
        </w:rPr>
        <w:t>oncepcióra</w:t>
      </w:r>
      <w:r>
        <w:rPr>
          <w:sz w:val="21"/>
          <w:szCs w:val="21"/>
        </w:rPr>
        <w:t xml:space="preserve"> </w:t>
      </w:r>
    </w:p>
    <w:p w:rsidR="00487FB6" w:rsidRPr="00FD2464" w:rsidRDefault="00487FB6" w:rsidP="00B8631E">
      <w:pPr>
        <w:rPr>
          <w:sz w:val="21"/>
          <w:szCs w:val="21"/>
        </w:rPr>
      </w:pPr>
      <w:r w:rsidRPr="00FD2464">
        <w:rPr>
          <w:sz w:val="21"/>
          <w:szCs w:val="21"/>
        </w:rPr>
        <w:t>Előterjesztő:</w:t>
      </w:r>
      <w:r w:rsidRPr="00D64FE5">
        <w:rPr>
          <w:sz w:val="21"/>
          <w:szCs w:val="21"/>
        </w:rPr>
        <w:t xml:space="preserve"> </w:t>
      </w:r>
      <w:r w:rsidRPr="00FD2464">
        <w:rPr>
          <w:sz w:val="21"/>
          <w:szCs w:val="21"/>
        </w:rPr>
        <w:t>Dr. Diósgyőri Gitta</w:t>
      </w:r>
      <w:r>
        <w:rPr>
          <w:sz w:val="21"/>
          <w:szCs w:val="21"/>
        </w:rPr>
        <w:t xml:space="preserve"> címzetes fő</w:t>
      </w:r>
      <w:r w:rsidRPr="00FD2464">
        <w:rPr>
          <w:sz w:val="21"/>
          <w:szCs w:val="21"/>
        </w:rPr>
        <w:t>jegyző</w:t>
      </w:r>
      <w:r w:rsidR="00B8631E">
        <w:rPr>
          <w:sz w:val="21"/>
          <w:szCs w:val="21"/>
        </w:rPr>
        <w:tab/>
      </w:r>
      <w:r w:rsidR="00B8631E">
        <w:rPr>
          <w:sz w:val="21"/>
          <w:szCs w:val="21"/>
        </w:rPr>
        <w:tab/>
        <w:t>Melléklet: Kommunális adó bevételszámok</w:t>
      </w:r>
    </w:p>
    <w:p w:rsidR="00487FB6" w:rsidRDefault="00487FB6" w:rsidP="00487FB6">
      <w:pPr>
        <w:widowControl w:val="0"/>
        <w:tabs>
          <w:tab w:val="left" w:pos="6495"/>
        </w:tabs>
        <w:rPr>
          <w:sz w:val="22"/>
          <w:szCs w:val="22"/>
        </w:rPr>
      </w:pPr>
      <w:r>
        <w:rPr>
          <w:sz w:val="21"/>
          <w:szCs w:val="21"/>
        </w:rPr>
        <w:t xml:space="preserve">Szakmai előterjesztő: </w:t>
      </w:r>
      <w:r>
        <w:rPr>
          <w:sz w:val="22"/>
          <w:szCs w:val="22"/>
        </w:rPr>
        <w:t>Mádi Csaba irodavezető</w:t>
      </w:r>
    </w:p>
    <w:p w:rsidR="00487FB6" w:rsidRDefault="00487FB6" w:rsidP="00487FB6">
      <w:pPr>
        <w:widowControl w:val="0"/>
        <w:tabs>
          <w:tab w:val="left" w:pos="6495"/>
        </w:tabs>
        <w:rPr>
          <w:b/>
          <w:bCs/>
        </w:rPr>
      </w:pPr>
    </w:p>
    <w:p w:rsidR="00487FB6" w:rsidRDefault="00487FB6" w:rsidP="00487FB6">
      <w:pPr>
        <w:widowControl w:val="0"/>
        <w:tabs>
          <w:tab w:val="left" w:pos="6495"/>
        </w:tabs>
        <w:jc w:val="center"/>
        <w:rPr>
          <w:b/>
          <w:bCs/>
        </w:rPr>
      </w:pPr>
    </w:p>
    <w:p w:rsidR="00487FB6" w:rsidRPr="00100E09" w:rsidRDefault="00487FB6" w:rsidP="00487FB6">
      <w:pPr>
        <w:widowControl w:val="0"/>
        <w:tabs>
          <w:tab w:val="left" w:pos="6495"/>
        </w:tabs>
        <w:jc w:val="center"/>
        <w:rPr>
          <w:b/>
          <w:bCs/>
        </w:rPr>
      </w:pPr>
      <w:r w:rsidRPr="00100E09">
        <w:rPr>
          <w:b/>
          <w:bCs/>
        </w:rPr>
        <w:t>ELŐTERJESZTÉS</w:t>
      </w:r>
    </w:p>
    <w:p w:rsidR="00487FB6" w:rsidRPr="00DE042A" w:rsidRDefault="00487FB6" w:rsidP="00487FB6">
      <w:pPr>
        <w:pStyle w:val="Cmsor1"/>
        <w:keepNext w:val="0"/>
        <w:widowControl w:val="0"/>
        <w:jc w:val="center"/>
      </w:pPr>
      <w:bookmarkStart w:id="0" w:name="_Toc308600933"/>
      <w:r w:rsidRPr="00DE042A">
        <w:t>Cegléd Város Önkormányzata Képviselő-testületének</w:t>
      </w:r>
    </w:p>
    <w:p w:rsidR="00487FB6" w:rsidRPr="00DE042A" w:rsidRDefault="00487FB6" w:rsidP="00487FB6">
      <w:pPr>
        <w:pStyle w:val="Cmsor1"/>
        <w:keepNext w:val="0"/>
        <w:widowControl w:val="0"/>
        <w:jc w:val="center"/>
      </w:pPr>
      <w:r w:rsidRPr="00DE042A">
        <w:t xml:space="preserve">2025. </w:t>
      </w:r>
      <w:r w:rsidR="00BE2BCC" w:rsidRPr="00DE042A">
        <w:t xml:space="preserve">október </w:t>
      </w:r>
      <w:r w:rsidR="00DE042A">
        <w:t>16</w:t>
      </w:r>
      <w:r w:rsidR="00585ACD">
        <w:t>-</w:t>
      </w:r>
      <w:r w:rsidR="00DE042A">
        <w:t>a</w:t>
      </w:r>
      <w:r w:rsidRPr="00DE042A">
        <w:t xml:space="preserve">i </w:t>
      </w:r>
      <w:r w:rsidR="000913E6">
        <w:t xml:space="preserve">nyilvános </w:t>
      </w:r>
      <w:r w:rsidRPr="00DE042A">
        <w:t>ülésére</w:t>
      </w:r>
      <w:bookmarkEnd w:id="0"/>
    </w:p>
    <w:p w:rsidR="00487FB6" w:rsidRPr="00100E09" w:rsidRDefault="00487FB6" w:rsidP="00487FB6">
      <w:pPr>
        <w:widowControl w:val="0"/>
      </w:pPr>
    </w:p>
    <w:p w:rsidR="00487FB6" w:rsidRPr="00100E09" w:rsidRDefault="00487FB6" w:rsidP="00DE042A">
      <w:pPr>
        <w:widowControl w:val="0"/>
        <w:jc w:val="center"/>
        <w:rPr>
          <w:b/>
        </w:rPr>
      </w:pPr>
      <w:r w:rsidRPr="00100E09">
        <w:rPr>
          <w:b/>
        </w:rPr>
        <w:t>Tisztelt Képviselő-testület!</w:t>
      </w:r>
    </w:p>
    <w:p w:rsidR="007D784A" w:rsidRDefault="007D784A" w:rsidP="007D784A"/>
    <w:p w:rsidR="00E1702D" w:rsidRPr="00E1702D" w:rsidRDefault="00E1702D" w:rsidP="00E1702D">
      <w:pPr>
        <w:tabs>
          <w:tab w:val="left" w:pos="3930"/>
        </w:tabs>
        <w:jc w:val="both"/>
      </w:pPr>
      <w:r w:rsidRPr="00E1702D">
        <w:t>Az önkormányzat működési költségvetésének meghatározó eleme a helyi adóból származó közhatalmi bevételek, melyek az állami támogatással nem fedezett kötelezően ellátandó, és az önként vállalt feladatok finanszírozásának a forrása. Az elmúlt években a költségek folyamatosan növekedtek, köszönhetően a magas energiaáraknak, az infláció mértékének, és a minimálbér, ill. garantált bérminimum növelésének, ugyanakkor az állami támogatások csökkentek. A város adóerőképessége ugyan folyamatosan növekedett, ennek következménye azonban az, hogy az ún. szolidaritási hozzájárulás is folyamatosan növekedett annak bevezetése óta:</w:t>
      </w:r>
    </w:p>
    <w:p w:rsidR="00E1702D" w:rsidRDefault="00E1702D" w:rsidP="00E1702D">
      <w:pPr>
        <w:tabs>
          <w:tab w:val="left" w:pos="3930"/>
        </w:tabs>
        <w:jc w:val="both"/>
      </w:pPr>
    </w:p>
    <w:tbl>
      <w:tblPr>
        <w:tblStyle w:val="Rcsostblzat"/>
        <w:tblW w:w="0" w:type="auto"/>
        <w:tblInd w:w="2405" w:type="dxa"/>
        <w:tblLook w:val="04A0" w:firstRow="1" w:lastRow="0" w:firstColumn="1" w:lastColumn="0" w:noHBand="0" w:noVBand="1"/>
      </w:tblPr>
      <w:tblGrid>
        <w:gridCol w:w="1701"/>
        <w:gridCol w:w="3260"/>
      </w:tblGrid>
      <w:tr w:rsidR="006644DC" w:rsidTr="006644DC">
        <w:trPr>
          <w:trHeight w:val="577"/>
        </w:trPr>
        <w:tc>
          <w:tcPr>
            <w:tcW w:w="4961" w:type="dxa"/>
            <w:gridSpan w:val="2"/>
            <w:vAlign w:val="center"/>
          </w:tcPr>
          <w:p w:rsidR="006644DC" w:rsidRDefault="006644DC" w:rsidP="006644DC">
            <w:pPr>
              <w:tabs>
                <w:tab w:val="left" w:pos="3930"/>
              </w:tabs>
              <w:jc w:val="center"/>
            </w:pPr>
            <w:r w:rsidRPr="00E1702D">
              <w:rPr>
                <w:b/>
                <w:bCs/>
                <w:color w:val="000000"/>
              </w:rPr>
              <w:t>CVÖ szolidaritási hozzájárulás</w:t>
            </w:r>
          </w:p>
        </w:tc>
      </w:tr>
      <w:tr w:rsidR="006644DC" w:rsidTr="006644DC">
        <w:trPr>
          <w:trHeight w:val="415"/>
        </w:trPr>
        <w:tc>
          <w:tcPr>
            <w:tcW w:w="1701" w:type="dxa"/>
            <w:vAlign w:val="center"/>
          </w:tcPr>
          <w:p w:rsidR="006644DC" w:rsidRPr="006644DC" w:rsidRDefault="006644DC" w:rsidP="006644DC">
            <w:pPr>
              <w:tabs>
                <w:tab w:val="left" w:pos="3930"/>
              </w:tabs>
              <w:jc w:val="center"/>
              <w:rPr>
                <w:b/>
              </w:rPr>
            </w:pPr>
            <w:r w:rsidRPr="006644DC">
              <w:rPr>
                <w:b/>
              </w:rPr>
              <w:t>Év</w:t>
            </w:r>
          </w:p>
        </w:tc>
        <w:tc>
          <w:tcPr>
            <w:tcW w:w="3260" w:type="dxa"/>
            <w:vAlign w:val="center"/>
          </w:tcPr>
          <w:p w:rsidR="006644DC" w:rsidRPr="006644DC" w:rsidRDefault="006644DC" w:rsidP="006644DC">
            <w:pPr>
              <w:tabs>
                <w:tab w:val="left" w:pos="3930"/>
              </w:tabs>
              <w:jc w:val="center"/>
              <w:rPr>
                <w:b/>
              </w:rPr>
            </w:pPr>
            <w:r w:rsidRPr="006644DC">
              <w:rPr>
                <w:b/>
              </w:rPr>
              <w:t>Összeg</w:t>
            </w:r>
          </w:p>
        </w:tc>
      </w:tr>
      <w:tr w:rsidR="006644DC" w:rsidTr="006644DC">
        <w:trPr>
          <w:trHeight w:val="421"/>
        </w:trPr>
        <w:tc>
          <w:tcPr>
            <w:tcW w:w="1701" w:type="dxa"/>
            <w:vAlign w:val="center"/>
          </w:tcPr>
          <w:p w:rsidR="006644DC" w:rsidRDefault="006644DC" w:rsidP="006644DC">
            <w:pPr>
              <w:tabs>
                <w:tab w:val="left" w:pos="3930"/>
              </w:tabs>
              <w:jc w:val="center"/>
            </w:pPr>
            <w:r>
              <w:t>2021</w:t>
            </w:r>
          </w:p>
        </w:tc>
        <w:tc>
          <w:tcPr>
            <w:tcW w:w="3260" w:type="dxa"/>
            <w:vAlign w:val="center"/>
          </w:tcPr>
          <w:p w:rsidR="006644DC" w:rsidRDefault="006644DC" w:rsidP="006644DC">
            <w:pPr>
              <w:tabs>
                <w:tab w:val="left" w:pos="3930"/>
              </w:tabs>
              <w:jc w:val="center"/>
            </w:pPr>
            <w:r w:rsidRPr="00E1702D">
              <w:rPr>
                <w:color w:val="000000"/>
              </w:rPr>
              <w:t>164 036 751 Ft</w:t>
            </w:r>
          </w:p>
        </w:tc>
      </w:tr>
      <w:tr w:rsidR="006644DC" w:rsidTr="006644DC">
        <w:trPr>
          <w:trHeight w:val="412"/>
        </w:trPr>
        <w:tc>
          <w:tcPr>
            <w:tcW w:w="1701" w:type="dxa"/>
            <w:vAlign w:val="center"/>
          </w:tcPr>
          <w:p w:rsidR="006644DC" w:rsidRDefault="006644DC" w:rsidP="006644DC">
            <w:pPr>
              <w:tabs>
                <w:tab w:val="left" w:pos="3930"/>
              </w:tabs>
              <w:jc w:val="center"/>
            </w:pPr>
            <w:r>
              <w:t>2022</w:t>
            </w:r>
          </w:p>
        </w:tc>
        <w:tc>
          <w:tcPr>
            <w:tcW w:w="3260" w:type="dxa"/>
            <w:vAlign w:val="center"/>
          </w:tcPr>
          <w:p w:rsidR="006644DC" w:rsidRPr="00E1702D" w:rsidRDefault="006644DC" w:rsidP="006644DC">
            <w:pPr>
              <w:jc w:val="center"/>
              <w:rPr>
                <w:color w:val="000000"/>
              </w:rPr>
            </w:pPr>
            <w:r w:rsidRPr="00E1702D">
              <w:rPr>
                <w:color w:val="000000"/>
              </w:rPr>
              <w:t>120 288 675 Ft</w:t>
            </w:r>
          </w:p>
        </w:tc>
      </w:tr>
      <w:tr w:rsidR="006644DC" w:rsidTr="006644DC">
        <w:trPr>
          <w:trHeight w:val="418"/>
        </w:trPr>
        <w:tc>
          <w:tcPr>
            <w:tcW w:w="1701" w:type="dxa"/>
            <w:vAlign w:val="center"/>
          </w:tcPr>
          <w:p w:rsidR="006644DC" w:rsidRDefault="006644DC" w:rsidP="006644DC">
            <w:pPr>
              <w:tabs>
                <w:tab w:val="left" w:pos="3930"/>
              </w:tabs>
              <w:jc w:val="center"/>
            </w:pPr>
            <w:r>
              <w:t>2023</w:t>
            </w:r>
          </w:p>
        </w:tc>
        <w:tc>
          <w:tcPr>
            <w:tcW w:w="3260" w:type="dxa"/>
            <w:vAlign w:val="center"/>
          </w:tcPr>
          <w:p w:rsidR="006644DC" w:rsidRDefault="006644DC" w:rsidP="006644DC">
            <w:pPr>
              <w:tabs>
                <w:tab w:val="left" w:pos="3930"/>
              </w:tabs>
              <w:jc w:val="center"/>
            </w:pPr>
            <w:r w:rsidRPr="00E1702D">
              <w:rPr>
                <w:color w:val="000000"/>
              </w:rPr>
              <w:t>220 676 102 Ft</w:t>
            </w:r>
          </w:p>
        </w:tc>
      </w:tr>
      <w:tr w:rsidR="006644DC" w:rsidTr="006644DC">
        <w:trPr>
          <w:trHeight w:val="411"/>
        </w:trPr>
        <w:tc>
          <w:tcPr>
            <w:tcW w:w="1701" w:type="dxa"/>
            <w:vAlign w:val="center"/>
          </w:tcPr>
          <w:p w:rsidR="006644DC" w:rsidRDefault="006644DC" w:rsidP="006644DC">
            <w:pPr>
              <w:tabs>
                <w:tab w:val="left" w:pos="3930"/>
              </w:tabs>
              <w:jc w:val="center"/>
            </w:pPr>
            <w:r>
              <w:t>2024</w:t>
            </w:r>
          </w:p>
        </w:tc>
        <w:tc>
          <w:tcPr>
            <w:tcW w:w="3260" w:type="dxa"/>
            <w:vAlign w:val="center"/>
          </w:tcPr>
          <w:p w:rsidR="006644DC" w:rsidRDefault="006644DC" w:rsidP="006644DC">
            <w:pPr>
              <w:tabs>
                <w:tab w:val="left" w:pos="3930"/>
              </w:tabs>
              <w:jc w:val="center"/>
            </w:pPr>
            <w:r w:rsidRPr="00E1702D">
              <w:rPr>
                <w:color w:val="000000"/>
              </w:rPr>
              <w:t>447 202 083 Ft</w:t>
            </w:r>
          </w:p>
        </w:tc>
      </w:tr>
      <w:tr w:rsidR="006644DC" w:rsidTr="006644DC">
        <w:trPr>
          <w:trHeight w:val="559"/>
        </w:trPr>
        <w:tc>
          <w:tcPr>
            <w:tcW w:w="1701" w:type="dxa"/>
            <w:vAlign w:val="center"/>
          </w:tcPr>
          <w:p w:rsidR="006644DC" w:rsidRDefault="006644DC" w:rsidP="006644DC">
            <w:pPr>
              <w:tabs>
                <w:tab w:val="left" w:pos="3930"/>
              </w:tabs>
              <w:jc w:val="center"/>
            </w:pPr>
            <w:r>
              <w:t>2024</w:t>
            </w:r>
          </w:p>
        </w:tc>
        <w:tc>
          <w:tcPr>
            <w:tcW w:w="3260" w:type="dxa"/>
            <w:vAlign w:val="center"/>
          </w:tcPr>
          <w:p w:rsidR="006644DC" w:rsidRDefault="006644DC" w:rsidP="006644DC">
            <w:pPr>
              <w:tabs>
                <w:tab w:val="left" w:pos="3930"/>
              </w:tabs>
              <w:jc w:val="center"/>
            </w:pPr>
            <w:r w:rsidRPr="00E1702D">
              <w:rPr>
                <w:color w:val="000000"/>
              </w:rPr>
              <w:t>587 183 382 Ft</w:t>
            </w:r>
          </w:p>
        </w:tc>
      </w:tr>
    </w:tbl>
    <w:p w:rsidR="006644DC" w:rsidRDefault="006644DC" w:rsidP="00E1702D">
      <w:pPr>
        <w:tabs>
          <w:tab w:val="left" w:pos="3930"/>
        </w:tabs>
        <w:jc w:val="both"/>
      </w:pPr>
    </w:p>
    <w:p w:rsidR="006644DC" w:rsidRDefault="006644DC" w:rsidP="00E1702D">
      <w:pPr>
        <w:tabs>
          <w:tab w:val="left" w:pos="3930"/>
        </w:tabs>
        <w:jc w:val="both"/>
      </w:pPr>
    </w:p>
    <w:p w:rsidR="00E1702D" w:rsidRPr="00E1702D" w:rsidRDefault="00E1702D" w:rsidP="00E1702D">
      <w:pPr>
        <w:tabs>
          <w:tab w:val="left" w:pos="3930"/>
        </w:tabs>
        <w:jc w:val="both"/>
      </w:pPr>
      <w:r w:rsidRPr="00E1702D">
        <w:t>Ez idő alatt a helyi iparűzési adóból származó bevétel viszont nem mutatott jelentős emelkedést.</w:t>
      </w:r>
    </w:p>
    <w:p w:rsidR="00E1702D" w:rsidRPr="00E1702D" w:rsidRDefault="00E1702D" w:rsidP="00E1702D">
      <w:pPr>
        <w:tabs>
          <w:tab w:val="left" w:pos="3930"/>
        </w:tabs>
        <w:jc w:val="both"/>
      </w:pPr>
    </w:p>
    <w:p w:rsidR="00E1702D" w:rsidRDefault="00E1702D" w:rsidP="00E1702D">
      <w:pPr>
        <w:tabs>
          <w:tab w:val="left" w:pos="3930"/>
        </w:tabs>
        <w:jc w:val="both"/>
      </w:pPr>
      <w:r w:rsidRPr="00E1702D">
        <w:t>Mindezek azt eredményezték, hogy a kötelező önkormányzati feladatok ellátásához egyre nagyobb arányú saját forrást kell biztosítani, illetve az egyes önként vállalt feladatok ellátása, megvalósítása került veszélybe. Ez indokolta elsősorban a 2025. január 1-jétől történő helyi adók mértékének a növelését.</w:t>
      </w:r>
    </w:p>
    <w:p w:rsidR="00F2332A" w:rsidRDefault="00F2332A" w:rsidP="007D784A">
      <w:pPr>
        <w:tabs>
          <w:tab w:val="left" w:pos="3930"/>
        </w:tabs>
        <w:jc w:val="both"/>
      </w:pPr>
      <w:r>
        <w:t>Az adóbevételből származó források az idei évben önkormányzatunk működésében 52 %-ban jelennek meg a költségek fedezeteként, ami 2024-ben még 59 % volt.</w:t>
      </w:r>
      <w:r w:rsidR="0051567B">
        <w:t xml:space="preserve"> Ugyanakkor a bevételi szinten 33 %-ot képviselnek az adóbevételek, mely arányt a jövőben növelni szükséges. </w:t>
      </w:r>
    </w:p>
    <w:p w:rsidR="00F2332A" w:rsidRDefault="00F2332A" w:rsidP="007D784A">
      <w:pPr>
        <w:tabs>
          <w:tab w:val="left" w:pos="3930"/>
        </w:tabs>
        <w:jc w:val="both"/>
      </w:pPr>
    </w:p>
    <w:p w:rsidR="00A50FA3" w:rsidRDefault="00A50FA3" w:rsidP="007D784A">
      <w:pPr>
        <w:tabs>
          <w:tab w:val="left" w:pos="3930"/>
        </w:tabs>
        <w:jc w:val="both"/>
      </w:pPr>
      <w:r>
        <w:t xml:space="preserve">Mivel az önkormányzati feladatok finanszírozási rendszerében nem várható </w:t>
      </w:r>
      <w:r w:rsidR="002F1082">
        <w:t xml:space="preserve">pozitív </w:t>
      </w:r>
      <w:r>
        <w:t>változás, ezért a feladatellátáshoz további biztos forrást kell</w:t>
      </w:r>
      <w:r w:rsidR="00E1702D">
        <w:t xml:space="preserve"> tudni</w:t>
      </w:r>
      <w:r>
        <w:t xml:space="preserve"> biztosítani</w:t>
      </w:r>
      <w:r w:rsidR="009B470E">
        <w:t>, amely lehet újabb adómérték emelés</w:t>
      </w:r>
      <w:r w:rsidR="007860AE">
        <w:t>,</w:t>
      </w:r>
      <w:r w:rsidR="00BA3EF8">
        <w:t xml:space="preserve"> rendel</w:t>
      </w:r>
      <w:r w:rsidR="0040223E">
        <w:t>e</w:t>
      </w:r>
      <w:r w:rsidR="00BA3EF8">
        <w:t>tmódosítás,</w:t>
      </w:r>
      <w:r w:rsidR="007860AE">
        <w:t xml:space="preserve"> melyről javaslatom</w:t>
      </w:r>
      <w:r w:rsidR="0040223E">
        <w:t>at</w:t>
      </w:r>
      <w:r w:rsidR="007860AE">
        <w:t xml:space="preserve"> az alábbiakban terjesztem a Képviselő-testület elé</w:t>
      </w:r>
      <w:r w:rsidR="009B470E">
        <w:t>.</w:t>
      </w:r>
    </w:p>
    <w:p w:rsidR="009B470E" w:rsidRDefault="009B470E" w:rsidP="007D784A">
      <w:pPr>
        <w:tabs>
          <w:tab w:val="left" w:pos="3930"/>
        </w:tabs>
        <w:jc w:val="both"/>
      </w:pPr>
    </w:p>
    <w:p w:rsidR="009508DB" w:rsidRDefault="007860AE" w:rsidP="007D784A">
      <w:pPr>
        <w:tabs>
          <w:tab w:val="left" w:pos="3930"/>
        </w:tabs>
        <w:jc w:val="both"/>
      </w:pPr>
      <w:r>
        <w:t>A helyi adókkal kapcsolatos döntéshozatalra</w:t>
      </w:r>
      <w:r w:rsidR="009B470E">
        <w:t xml:space="preserve"> a helyi adókról szóló 1990. évi C. törvény </w:t>
      </w:r>
      <w:r w:rsidR="00FA5ED7">
        <w:t xml:space="preserve">(továbbiakban Htv.) </w:t>
      </w:r>
      <w:r w:rsidR="009B470E">
        <w:t>lehetőséget biztosít, mely 6. §-</w:t>
      </w:r>
      <w:proofErr w:type="spellStart"/>
      <w:r w:rsidR="009B470E">
        <w:t>ának</w:t>
      </w:r>
      <w:proofErr w:type="spellEnd"/>
      <w:r w:rsidR="009B470E">
        <w:t xml:space="preserve"> rendelkezései alapján az Önkormányzat adómegállapítási joga a következőkre terjed ki:</w:t>
      </w:r>
    </w:p>
    <w:p w:rsidR="007D784A" w:rsidRDefault="007D784A" w:rsidP="007D784A">
      <w:pPr>
        <w:tabs>
          <w:tab w:val="left" w:pos="3930"/>
        </w:tabs>
        <w:jc w:val="both"/>
      </w:pPr>
    </w:p>
    <w:p w:rsidR="007D784A" w:rsidRPr="009B470E" w:rsidRDefault="007D784A" w:rsidP="009B470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szCs w:val="22"/>
          <w:lang w:eastAsia="en-US"/>
        </w:rPr>
      </w:pPr>
      <w:r w:rsidRPr="009B470E">
        <w:rPr>
          <w:rFonts w:ascii="TimesNewRoman" w:eastAsiaTheme="minorHAnsi" w:hAnsi="TimesNewRoman" w:cs="TimesNewRoman"/>
          <w:szCs w:val="22"/>
          <w:lang w:eastAsia="en-US"/>
        </w:rPr>
        <w:lastRenderedPageBreak/>
        <w:t>vagyoni típusú adót (építményadó, telekadó), kommunális jellegű adót, helyi iparűzési adót, vagy</w:t>
      </w:r>
      <w:r w:rsidR="009B470E" w:rsidRPr="009B470E">
        <w:rPr>
          <w:rFonts w:ascii="TimesNewRoman" w:eastAsiaTheme="minorHAnsi" w:hAnsi="TimesNewRoman" w:cs="TimesNewRoman"/>
          <w:szCs w:val="22"/>
          <w:lang w:eastAsia="en-US"/>
        </w:rPr>
        <w:t xml:space="preserve"> </w:t>
      </w:r>
      <w:r w:rsidRPr="009B470E">
        <w:rPr>
          <w:rFonts w:ascii="TimesNewRoman" w:eastAsiaTheme="minorHAnsi" w:hAnsi="TimesNewRoman" w:cs="TimesNewRoman"/>
          <w:szCs w:val="22"/>
          <w:lang w:eastAsia="en-US"/>
        </w:rPr>
        <w:t>ezek valamelyikét bevezesse, hatályon kívül helyezze, módosítsa, azonban az évközi módosítás</w:t>
      </w:r>
      <w:r w:rsidR="009B470E" w:rsidRPr="009B470E">
        <w:rPr>
          <w:rFonts w:ascii="TimesNewRoman" w:eastAsiaTheme="minorHAnsi" w:hAnsi="TimesNewRoman" w:cs="TimesNewRoman"/>
          <w:szCs w:val="22"/>
          <w:lang w:eastAsia="en-US"/>
        </w:rPr>
        <w:t xml:space="preserve"> </w:t>
      </w:r>
      <w:r w:rsidRPr="009B470E">
        <w:rPr>
          <w:rFonts w:ascii="TimesNewRoman" w:eastAsiaTheme="minorHAnsi" w:hAnsi="TimesNewRoman" w:cs="TimesNewRoman"/>
          <w:szCs w:val="22"/>
          <w:lang w:eastAsia="en-US"/>
        </w:rPr>
        <w:t>naptári éven belül nem súlyosbíthatja az adóalanyok adóterheit;</w:t>
      </w:r>
    </w:p>
    <w:p w:rsidR="009B470E" w:rsidRPr="009B470E" w:rsidRDefault="009B470E" w:rsidP="009B470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szCs w:val="22"/>
          <w:lang w:eastAsia="en-US"/>
        </w:rPr>
      </w:pPr>
      <w:r w:rsidRPr="009B470E">
        <w:rPr>
          <w:rFonts w:ascii="TimesNewRoman" w:eastAsiaTheme="minorHAnsi" w:hAnsi="TimesNewRoman" w:cs="TimesNewRoman"/>
          <w:szCs w:val="22"/>
          <w:lang w:eastAsia="en-US"/>
        </w:rPr>
        <w:t>m</w:t>
      </w:r>
      <w:r w:rsidR="007D784A" w:rsidRPr="009B470E">
        <w:rPr>
          <w:rFonts w:ascii="TimesNewRoman" w:eastAsiaTheme="minorHAnsi" w:hAnsi="TimesNewRoman" w:cs="TimesNewRoman"/>
          <w:szCs w:val="22"/>
          <w:lang w:eastAsia="en-US"/>
        </w:rPr>
        <w:t>eghatározza az adó bevezetésének időpontját és időtartamát;</w:t>
      </w:r>
    </w:p>
    <w:p w:rsidR="009B470E" w:rsidRPr="009B470E" w:rsidRDefault="007D784A" w:rsidP="009B470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szCs w:val="22"/>
          <w:lang w:eastAsia="en-US"/>
        </w:rPr>
      </w:pPr>
      <w:r w:rsidRPr="009B470E">
        <w:rPr>
          <w:rFonts w:ascii="TimesNewRoman" w:eastAsiaTheme="minorHAnsi" w:hAnsi="TimesNewRoman" w:cs="TimesNewRoman"/>
          <w:szCs w:val="22"/>
          <w:lang w:eastAsia="en-US"/>
        </w:rPr>
        <w:t>az adó mértékét a helyi sajátosságokhoz, az önkormányzat gazdálkodási követelményeihez és az</w:t>
      </w:r>
      <w:r w:rsidR="009B470E" w:rsidRPr="009B470E">
        <w:rPr>
          <w:rFonts w:ascii="TimesNewRoman" w:eastAsiaTheme="minorHAnsi" w:hAnsi="TimesNewRoman" w:cs="TimesNewRoman"/>
          <w:szCs w:val="22"/>
          <w:lang w:eastAsia="en-US"/>
        </w:rPr>
        <w:t xml:space="preserve"> </w:t>
      </w:r>
      <w:r w:rsidRPr="009B470E">
        <w:rPr>
          <w:rFonts w:ascii="TimesNewRoman" w:eastAsiaTheme="minorHAnsi" w:hAnsi="TimesNewRoman" w:cs="TimesNewRoman"/>
          <w:szCs w:val="22"/>
          <w:lang w:eastAsia="en-US"/>
        </w:rPr>
        <w:t>adóalanyok teherviselő képességéhez igazodóan - az e törvényben meghatározott felső határokra</w:t>
      </w:r>
      <w:r w:rsidR="009B470E" w:rsidRPr="009B470E">
        <w:rPr>
          <w:rFonts w:ascii="TimesNewRoman" w:eastAsiaTheme="minorHAnsi" w:hAnsi="TimesNewRoman" w:cs="TimesNewRoman"/>
          <w:szCs w:val="22"/>
          <w:lang w:eastAsia="en-US"/>
        </w:rPr>
        <w:t xml:space="preserve"> -</w:t>
      </w:r>
      <w:r w:rsidRPr="009B470E">
        <w:rPr>
          <w:rFonts w:ascii="TimesNewRoman" w:eastAsiaTheme="minorHAnsi" w:hAnsi="TimesNewRoman" w:cs="TimesNewRoman"/>
          <w:szCs w:val="22"/>
          <w:lang w:eastAsia="en-US"/>
        </w:rPr>
        <w:t xml:space="preserve"> figyelemmel</w:t>
      </w:r>
      <w:r w:rsidR="009B470E" w:rsidRPr="009B470E">
        <w:rPr>
          <w:rFonts w:ascii="TimesNewRoman" w:eastAsiaTheme="minorHAnsi" w:hAnsi="TimesNewRoman" w:cs="TimesNewRoman"/>
          <w:szCs w:val="22"/>
          <w:lang w:eastAsia="en-US"/>
        </w:rPr>
        <w:t xml:space="preserve"> az adómaximumra</w:t>
      </w:r>
      <w:r w:rsidRPr="009B470E">
        <w:rPr>
          <w:rFonts w:ascii="TimesNewRoman" w:eastAsiaTheme="minorHAnsi" w:hAnsi="TimesNewRoman" w:cs="TimesNewRoman"/>
          <w:szCs w:val="22"/>
          <w:lang w:eastAsia="en-US"/>
        </w:rPr>
        <w:t xml:space="preserve"> – megállapítsa. </w:t>
      </w:r>
    </w:p>
    <w:p w:rsidR="009B470E" w:rsidRPr="009B470E" w:rsidRDefault="007D784A" w:rsidP="009B470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szCs w:val="22"/>
          <w:lang w:eastAsia="en-US"/>
        </w:rPr>
      </w:pPr>
      <w:r w:rsidRPr="009B470E">
        <w:rPr>
          <w:rFonts w:ascii="TimesNewRoman" w:eastAsiaTheme="minorHAnsi" w:hAnsi="TimesNewRoman" w:cs="TimesNewRoman"/>
          <w:szCs w:val="22"/>
          <w:lang w:eastAsia="en-US"/>
        </w:rPr>
        <w:t>a törvényben meghatározott mentességeket további mentességekkel, illetőleg a</w:t>
      </w:r>
      <w:r w:rsidR="009B470E" w:rsidRPr="009B470E">
        <w:rPr>
          <w:rFonts w:ascii="TimesNewRoman" w:eastAsiaTheme="minorHAnsi" w:hAnsi="TimesNewRoman" w:cs="TimesNewRoman"/>
          <w:szCs w:val="22"/>
          <w:lang w:eastAsia="en-US"/>
        </w:rPr>
        <w:t xml:space="preserve"> k</w:t>
      </w:r>
      <w:r w:rsidRPr="009B470E">
        <w:rPr>
          <w:rFonts w:ascii="TimesNewRoman" w:eastAsiaTheme="minorHAnsi" w:hAnsi="TimesNewRoman" w:cs="TimesNewRoman"/>
          <w:szCs w:val="22"/>
          <w:lang w:eastAsia="en-US"/>
        </w:rPr>
        <w:t>edvezményeket</w:t>
      </w:r>
      <w:r w:rsidR="009B470E" w:rsidRPr="009B470E">
        <w:rPr>
          <w:rFonts w:ascii="TimesNewRoman" w:eastAsiaTheme="minorHAnsi" w:hAnsi="TimesNewRoman" w:cs="TimesNewRoman"/>
          <w:szCs w:val="22"/>
          <w:lang w:eastAsia="en-US"/>
        </w:rPr>
        <w:t xml:space="preserve"> </w:t>
      </w:r>
      <w:r w:rsidRPr="009B470E">
        <w:rPr>
          <w:rFonts w:ascii="TimesNewRoman" w:eastAsiaTheme="minorHAnsi" w:hAnsi="TimesNewRoman" w:cs="TimesNewRoman"/>
          <w:szCs w:val="22"/>
          <w:lang w:eastAsia="en-US"/>
        </w:rPr>
        <w:t>további kedvezményekkel kibővítse;</w:t>
      </w:r>
    </w:p>
    <w:p w:rsidR="007D784A" w:rsidRPr="00327E78" w:rsidRDefault="009B470E" w:rsidP="00327E78">
      <w:pPr>
        <w:pStyle w:val="Listaszerbekezds"/>
        <w:numPr>
          <w:ilvl w:val="0"/>
          <w:numId w:val="1"/>
        </w:numPr>
        <w:tabs>
          <w:tab w:val="left" w:pos="3930"/>
        </w:tabs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szCs w:val="22"/>
          <w:lang w:eastAsia="en-US"/>
        </w:rPr>
      </w:pPr>
      <w:r w:rsidRPr="00327E78">
        <w:rPr>
          <w:rFonts w:ascii="TimesNewRoman" w:eastAsiaTheme="minorHAnsi" w:hAnsi="TimesNewRoman" w:cs="TimesNewRoman"/>
          <w:szCs w:val="22"/>
          <w:lang w:eastAsia="en-US"/>
        </w:rPr>
        <w:t>a</w:t>
      </w:r>
      <w:r w:rsidR="007D784A" w:rsidRPr="00327E78">
        <w:rPr>
          <w:rFonts w:ascii="TimesNewRoman" w:eastAsiaTheme="minorHAnsi" w:hAnsi="TimesNewRoman" w:cs="TimesNewRoman"/>
          <w:szCs w:val="22"/>
          <w:lang w:eastAsia="en-US"/>
        </w:rPr>
        <w:t xml:space="preserve"> </w:t>
      </w:r>
      <w:proofErr w:type="spellStart"/>
      <w:r w:rsidR="007D784A" w:rsidRPr="00327E78">
        <w:rPr>
          <w:rFonts w:ascii="TimesNewRoman" w:eastAsiaTheme="minorHAnsi" w:hAnsi="TimesNewRoman" w:cs="TimesNewRoman"/>
          <w:szCs w:val="22"/>
          <w:lang w:eastAsia="en-US"/>
        </w:rPr>
        <w:t>Htv</w:t>
      </w:r>
      <w:proofErr w:type="spellEnd"/>
      <w:r w:rsidR="007D784A" w:rsidRPr="00327E78">
        <w:rPr>
          <w:rFonts w:ascii="TimesNewRoman" w:eastAsiaTheme="minorHAnsi" w:hAnsi="TimesNewRoman" w:cs="TimesNewRoman"/>
          <w:szCs w:val="22"/>
          <w:lang w:eastAsia="en-US"/>
        </w:rPr>
        <w:t>. és az adózás rendjéről szóló törvény keretei között a helyi adózás részletes szabályait</w:t>
      </w:r>
      <w:r w:rsidR="00327E78">
        <w:rPr>
          <w:rFonts w:ascii="TimesNewRoman" w:eastAsiaTheme="minorHAnsi" w:hAnsi="TimesNewRoman" w:cs="TimesNewRoman"/>
          <w:szCs w:val="22"/>
          <w:lang w:eastAsia="en-US"/>
        </w:rPr>
        <w:t xml:space="preserve"> </w:t>
      </w:r>
      <w:r w:rsidR="007D784A" w:rsidRPr="00327E78">
        <w:rPr>
          <w:rFonts w:ascii="TimesNewRoman" w:eastAsiaTheme="minorHAnsi" w:hAnsi="TimesNewRoman" w:cs="TimesNewRoman"/>
          <w:szCs w:val="22"/>
          <w:lang w:eastAsia="en-US"/>
        </w:rPr>
        <w:t>meghatározza.</w:t>
      </w:r>
    </w:p>
    <w:p w:rsidR="009B470E" w:rsidRDefault="009B470E" w:rsidP="009B470E">
      <w:pPr>
        <w:tabs>
          <w:tab w:val="left" w:pos="3930"/>
        </w:tabs>
        <w:ind w:firstLine="709"/>
        <w:jc w:val="both"/>
        <w:rPr>
          <w:sz w:val="28"/>
        </w:rPr>
      </w:pPr>
    </w:p>
    <w:p w:rsidR="00D21554" w:rsidRDefault="00D21554" w:rsidP="009B470E">
      <w:pPr>
        <w:tabs>
          <w:tab w:val="left" w:pos="3930"/>
        </w:tabs>
        <w:ind w:firstLine="709"/>
        <w:jc w:val="both"/>
        <w:rPr>
          <w:sz w:val="28"/>
        </w:rPr>
      </w:pPr>
    </w:p>
    <w:p w:rsidR="00BA3EF8" w:rsidRDefault="009B470E" w:rsidP="009B470E">
      <w:pPr>
        <w:tabs>
          <w:tab w:val="left" w:pos="3930"/>
        </w:tabs>
        <w:jc w:val="both"/>
      </w:pPr>
      <w:r w:rsidRPr="009B470E">
        <w:t>2025. év</w:t>
      </w:r>
      <w:r>
        <w:t xml:space="preserve">től </w:t>
      </w:r>
      <w:r w:rsidRPr="009B470E">
        <w:t>30 %-os adómérték emelés tör</w:t>
      </w:r>
      <w:r>
        <w:t>t</w:t>
      </w:r>
      <w:r w:rsidRPr="009B470E">
        <w:t>ént</w:t>
      </w:r>
      <w:r w:rsidR="0044039C">
        <w:t xml:space="preserve"> a helyi adónemekben</w:t>
      </w:r>
      <w:r w:rsidRPr="009B470E">
        <w:t>, ami</w:t>
      </w:r>
      <w:r w:rsidR="0044039C">
        <w:t>k összegszerűségükben</w:t>
      </w:r>
      <w:r>
        <w:t xml:space="preserve"> továbbra is elmaradnak a környező, vagy has</w:t>
      </w:r>
      <w:r w:rsidR="0040223E">
        <w:t>o</w:t>
      </w:r>
      <w:r>
        <w:t xml:space="preserve">nló települések </w:t>
      </w:r>
      <w:r w:rsidR="00706F42">
        <w:t>adómértékeihez, illetve elmaradnak a meghatározott adómaximumoktól.</w:t>
      </w:r>
      <w:r w:rsidR="00BA3EF8">
        <w:t xml:space="preserve"> </w:t>
      </w:r>
    </w:p>
    <w:p w:rsidR="00FA5ED7" w:rsidRDefault="00FA5ED7" w:rsidP="009B470E">
      <w:pPr>
        <w:tabs>
          <w:tab w:val="left" w:pos="3930"/>
        </w:tabs>
        <w:jc w:val="both"/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4819"/>
        <w:gridCol w:w="2268"/>
      </w:tblGrid>
      <w:tr w:rsidR="00571D43" w:rsidTr="009D06C9">
        <w:trPr>
          <w:trHeight w:val="114"/>
          <w:jc w:val="center"/>
        </w:trPr>
        <w:tc>
          <w:tcPr>
            <w:tcW w:w="3823" w:type="dxa"/>
          </w:tcPr>
          <w:p w:rsidR="00571D43" w:rsidRDefault="00571D43" w:rsidP="00CD7030">
            <w:pPr>
              <w:pStyle w:val="Default"/>
              <w:widowControl w:val="0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Adónem:</w:t>
            </w:r>
          </w:p>
        </w:tc>
        <w:tc>
          <w:tcPr>
            <w:tcW w:w="4819" w:type="dxa"/>
          </w:tcPr>
          <w:p w:rsidR="00571D43" w:rsidRDefault="00571D43" w:rsidP="00CD7030">
            <w:pPr>
              <w:pStyle w:val="Default"/>
              <w:widowControl w:val="0"/>
              <w:ind w:left="-70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Htv</w:t>
            </w:r>
            <w:proofErr w:type="spellEnd"/>
            <w:r>
              <w:rPr>
                <w:b/>
                <w:bCs/>
                <w:sz w:val="23"/>
                <w:szCs w:val="23"/>
              </w:rPr>
              <w:t>. szerinti felső érték           Adómaximum</w:t>
            </w:r>
          </w:p>
        </w:tc>
        <w:tc>
          <w:tcPr>
            <w:tcW w:w="2268" w:type="dxa"/>
          </w:tcPr>
          <w:p w:rsidR="00571D43" w:rsidRDefault="00571D43" w:rsidP="00940767">
            <w:pPr>
              <w:pStyle w:val="Default"/>
              <w:widowControl w:val="0"/>
              <w:ind w:left="-7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Hatályos adómérték</w:t>
            </w:r>
          </w:p>
        </w:tc>
      </w:tr>
      <w:tr w:rsidR="00571D43" w:rsidTr="009D06C9">
        <w:trPr>
          <w:trHeight w:val="142"/>
          <w:jc w:val="center"/>
        </w:trPr>
        <w:tc>
          <w:tcPr>
            <w:tcW w:w="3823" w:type="dxa"/>
          </w:tcPr>
          <w:p w:rsidR="00571D43" w:rsidRDefault="00571D43" w:rsidP="00CD7030">
            <w:pPr>
              <w:pStyle w:val="Default"/>
              <w:widowControl w:val="0"/>
              <w:rPr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>Építményadó</w:t>
            </w:r>
            <w:r>
              <w:rPr>
                <w:sz w:val="23"/>
                <w:szCs w:val="23"/>
              </w:rPr>
              <w:t xml:space="preserve"> (épület, épületrész után): </w:t>
            </w:r>
          </w:p>
        </w:tc>
        <w:tc>
          <w:tcPr>
            <w:tcW w:w="4819" w:type="dxa"/>
          </w:tcPr>
          <w:p w:rsidR="00571D43" w:rsidRPr="006D7ADE" w:rsidRDefault="00571D43" w:rsidP="00CD7030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1100 Ft/m</w:t>
            </w:r>
            <w:r w:rsidRPr="00336D43">
              <w:rPr>
                <w:b/>
                <w:sz w:val="23"/>
                <w:szCs w:val="23"/>
                <w:vertAlign w:val="superscript"/>
              </w:rPr>
              <w:t>2</w:t>
            </w:r>
            <w:r>
              <w:rPr>
                <w:b/>
                <w:sz w:val="23"/>
                <w:szCs w:val="23"/>
              </w:rPr>
              <w:t xml:space="preserve">                          2950,1</w:t>
            </w:r>
            <w:r w:rsidRPr="006D7ADE">
              <w:rPr>
                <w:b/>
                <w:sz w:val="23"/>
                <w:szCs w:val="23"/>
              </w:rPr>
              <w:t xml:space="preserve"> Ft/m</w:t>
            </w:r>
            <w:r w:rsidRPr="002623DC">
              <w:rPr>
                <w:b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571D43" w:rsidRDefault="006A29E2" w:rsidP="00CD7030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78</w:t>
            </w:r>
            <w:r w:rsidR="00571D43">
              <w:rPr>
                <w:b/>
                <w:sz w:val="23"/>
                <w:szCs w:val="23"/>
              </w:rPr>
              <w:t>0 Ft/m</w:t>
            </w:r>
            <w:r w:rsidR="00571D43" w:rsidRPr="00571D43">
              <w:rPr>
                <w:b/>
                <w:sz w:val="23"/>
                <w:szCs w:val="23"/>
                <w:vertAlign w:val="superscript"/>
              </w:rPr>
              <w:t>2</w:t>
            </w:r>
          </w:p>
        </w:tc>
      </w:tr>
      <w:tr w:rsidR="00571D43" w:rsidTr="009D06C9">
        <w:trPr>
          <w:trHeight w:val="142"/>
          <w:jc w:val="center"/>
        </w:trPr>
        <w:tc>
          <w:tcPr>
            <w:tcW w:w="3823" w:type="dxa"/>
          </w:tcPr>
          <w:p w:rsidR="00571D43" w:rsidRPr="006D7ADE" w:rsidRDefault="00571D43" w:rsidP="00CD7030">
            <w:pPr>
              <w:pStyle w:val="Default"/>
              <w:widowControl w:val="0"/>
              <w:rPr>
                <w:b/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 xml:space="preserve">Telekadó: </w:t>
            </w:r>
          </w:p>
        </w:tc>
        <w:tc>
          <w:tcPr>
            <w:tcW w:w="4819" w:type="dxa"/>
          </w:tcPr>
          <w:p w:rsidR="00571D43" w:rsidRPr="006D7ADE" w:rsidRDefault="00571D43" w:rsidP="00CD7030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200 Ft/m</w:t>
            </w:r>
            <w:r w:rsidRPr="00336D43">
              <w:rPr>
                <w:b/>
                <w:sz w:val="23"/>
                <w:szCs w:val="23"/>
                <w:vertAlign w:val="superscript"/>
              </w:rPr>
              <w:t>2</w:t>
            </w:r>
            <w:r>
              <w:rPr>
                <w:b/>
                <w:sz w:val="23"/>
                <w:szCs w:val="23"/>
              </w:rPr>
              <w:t xml:space="preserve">                           536,4</w:t>
            </w:r>
            <w:r w:rsidRPr="006D7ADE">
              <w:rPr>
                <w:b/>
                <w:sz w:val="23"/>
                <w:szCs w:val="23"/>
              </w:rPr>
              <w:t xml:space="preserve"> Ft/m</w:t>
            </w:r>
            <w:r w:rsidRPr="002623DC">
              <w:rPr>
                <w:b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571D43" w:rsidRDefault="00571D43" w:rsidP="00CD7030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</w:tr>
      <w:tr w:rsidR="00571D43" w:rsidTr="009D06C9">
        <w:trPr>
          <w:trHeight w:val="116"/>
          <w:jc w:val="center"/>
        </w:trPr>
        <w:tc>
          <w:tcPr>
            <w:tcW w:w="3823" w:type="dxa"/>
          </w:tcPr>
          <w:p w:rsidR="00571D43" w:rsidRPr="006D7ADE" w:rsidRDefault="00571D43" w:rsidP="00CD7030">
            <w:pPr>
              <w:pStyle w:val="Default"/>
              <w:widowControl w:val="0"/>
              <w:rPr>
                <w:b/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 xml:space="preserve">Magánszemély kommunális adója: </w:t>
            </w:r>
          </w:p>
        </w:tc>
        <w:tc>
          <w:tcPr>
            <w:tcW w:w="4819" w:type="dxa"/>
          </w:tcPr>
          <w:p w:rsidR="00571D43" w:rsidRPr="006D7ADE" w:rsidRDefault="00571D43" w:rsidP="00CD7030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17.000 Ft/adótárgy        45.592,6</w:t>
            </w:r>
            <w:r w:rsidRPr="006D7ADE">
              <w:rPr>
                <w:b/>
                <w:sz w:val="23"/>
                <w:szCs w:val="23"/>
              </w:rPr>
              <w:t xml:space="preserve"> Ft/adótárgy</w:t>
            </w:r>
          </w:p>
        </w:tc>
        <w:tc>
          <w:tcPr>
            <w:tcW w:w="2268" w:type="dxa"/>
          </w:tcPr>
          <w:p w:rsidR="00571D43" w:rsidRDefault="00571D43" w:rsidP="00CD7030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  <w:r w:rsidR="00777D1B">
              <w:rPr>
                <w:b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500-13</w:t>
            </w:r>
            <w:r w:rsidR="00777D1B">
              <w:rPr>
                <w:b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000 Ft/m</w:t>
            </w:r>
            <w:r w:rsidRPr="00571D43">
              <w:rPr>
                <w:b/>
                <w:sz w:val="23"/>
                <w:szCs w:val="23"/>
                <w:vertAlign w:val="superscript"/>
              </w:rPr>
              <w:t>2</w:t>
            </w:r>
          </w:p>
        </w:tc>
      </w:tr>
      <w:tr w:rsidR="00571D43" w:rsidRPr="006D7ADE" w:rsidTr="009D06C9">
        <w:trPr>
          <w:trHeight w:val="116"/>
          <w:jc w:val="center"/>
        </w:trPr>
        <w:tc>
          <w:tcPr>
            <w:tcW w:w="3823" w:type="dxa"/>
          </w:tcPr>
          <w:p w:rsidR="00571D43" w:rsidRPr="006D7ADE" w:rsidRDefault="00571D43" w:rsidP="00CD7030">
            <w:pPr>
              <w:pStyle w:val="Default"/>
              <w:widowControl w:val="0"/>
              <w:rPr>
                <w:b/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 xml:space="preserve">Idegenforgalmi adó </w:t>
            </w:r>
            <w:r w:rsidRPr="006D7ADE">
              <w:rPr>
                <w:sz w:val="23"/>
                <w:szCs w:val="23"/>
              </w:rPr>
              <w:t>(tartózkodási idő után):</w:t>
            </w:r>
            <w:r w:rsidRPr="006D7ADE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4819" w:type="dxa"/>
          </w:tcPr>
          <w:p w:rsidR="00571D43" w:rsidRPr="006D7ADE" w:rsidRDefault="00571D43" w:rsidP="00CD7030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 300 Ft/ </w:t>
            </w:r>
            <w:proofErr w:type="spellStart"/>
            <w:r>
              <w:rPr>
                <w:b/>
                <w:sz w:val="23"/>
                <w:szCs w:val="23"/>
              </w:rPr>
              <w:t>v.éj</w:t>
            </w:r>
            <w:proofErr w:type="spellEnd"/>
            <w:r>
              <w:rPr>
                <w:b/>
                <w:sz w:val="23"/>
                <w:szCs w:val="23"/>
              </w:rPr>
              <w:t>.                      804,5</w:t>
            </w:r>
            <w:r w:rsidRPr="006D7ADE">
              <w:rPr>
                <w:b/>
                <w:sz w:val="23"/>
                <w:szCs w:val="23"/>
              </w:rPr>
              <w:t xml:space="preserve"> Ft/fő/</w:t>
            </w:r>
            <w:proofErr w:type="spellStart"/>
            <w:r w:rsidRPr="006D7ADE">
              <w:rPr>
                <w:b/>
                <w:sz w:val="23"/>
                <w:szCs w:val="23"/>
              </w:rPr>
              <w:t>v</w:t>
            </w:r>
            <w:r>
              <w:rPr>
                <w:b/>
                <w:sz w:val="23"/>
                <w:szCs w:val="23"/>
              </w:rPr>
              <w:t>.</w:t>
            </w:r>
            <w:r w:rsidRPr="006D7ADE">
              <w:rPr>
                <w:b/>
                <w:sz w:val="23"/>
                <w:szCs w:val="23"/>
              </w:rPr>
              <w:t>éj</w:t>
            </w:r>
            <w:proofErr w:type="spellEnd"/>
            <w:r>
              <w:rPr>
                <w:b/>
                <w:sz w:val="23"/>
                <w:szCs w:val="23"/>
              </w:rPr>
              <w:t>.</w:t>
            </w:r>
          </w:p>
        </w:tc>
        <w:tc>
          <w:tcPr>
            <w:tcW w:w="2268" w:type="dxa"/>
          </w:tcPr>
          <w:p w:rsidR="00571D43" w:rsidRDefault="00571D43" w:rsidP="0011744D">
            <w:pPr>
              <w:pStyle w:val="Default"/>
              <w:widowControl w:val="0"/>
              <w:numPr>
                <w:ilvl w:val="0"/>
                <w:numId w:val="3"/>
              </w:num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/ </w:t>
            </w:r>
            <w:proofErr w:type="spellStart"/>
            <w:r>
              <w:rPr>
                <w:b/>
                <w:sz w:val="23"/>
                <w:szCs w:val="23"/>
              </w:rPr>
              <w:t>v.éj</w:t>
            </w:r>
            <w:proofErr w:type="spellEnd"/>
            <w:r>
              <w:rPr>
                <w:b/>
                <w:sz w:val="23"/>
                <w:szCs w:val="23"/>
              </w:rPr>
              <w:t>.</w:t>
            </w:r>
          </w:p>
        </w:tc>
      </w:tr>
    </w:tbl>
    <w:p w:rsidR="00E1702D" w:rsidRDefault="00E1702D" w:rsidP="000B135D">
      <w:pPr>
        <w:spacing w:after="160" w:line="259" w:lineRule="auto"/>
        <w:jc w:val="both"/>
      </w:pPr>
    </w:p>
    <w:tbl>
      <w:tblPr>
        <w:tblpPr w:leftFromText="141" w:rightFromText="141" w:vertAnchor="page" w:horzAnchor="margin" w:tblpY="9481"/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9"/>
        <w:gridCol w:w="1936"/>
        <w:gridCol w:w="104"/>
        <w:gridCol w:w="2130"/>
        <w:gridCol w:w="2523"/>
      </w:tblGrid>
      <w:tr w:rsidR="006644DC" w:rsidTr="00D21554">
        <w:trPr>
          <w:trHeight w:val="56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Default="006644DC" w:rsidP="00D21554">
            <w:pPr>
              <w:widowControl w:val="0"/>
              <w:ind w:left="306" w:hanging="284"/>
              <w:jc w:val="center"/>
            </w:pP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Pr="006A1931" w:rsidRDefault="006644DC" w:rsidP="00D21554">
            <w:pPr>
              <w:jc w:val="center"/>
              <w:rPr>
                <w:b/>
                <w:i/>
                <w:color w:val="000000"/>
              </w:rPr>
            </w:pPr>
            <w:r w:rsidRPr="006A1931">
              <w:rPr>
                <w:b/>
                <w:i/>
                <w:color w:val="000000"/>
              </w:rPr>
              <w:t>Kommunális adó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Pr="006A1931" w:rsidRDefault="006644DC" w:rsidP="00D21554">
            <w:pPr>
              <w:jc w:val="center"/>
              <w:rPr>
                <w:b/>
                <w:i/>
                <w:color w:val="000000"/>
              </w:rPr>
            </w:pPr>
            <w:r w:rsidRPr="006A1931">
              <w:rPr>
                <w:b/>
                <w:i/>
                <w:color w:val="000000"/>
              </w:rPr>
              <w:t>Építményadó</w:t>
            </w:r>
          </w:p>
        </w:tc>
      </w:tr>
      <w:tr w:rsidR="006644DC" w:rsidTr="00D21554">
        <w:trPr>
          <w:trHeight w:val="395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44DC" w:rsidRPr="006A1931" w:rsidRDefault="006644DC" w:rsidP="00D21554">
            <w:pPr>
              <w:widowControl w:val="0"/>
              <w:jc w:val="center"/>
              <w:rPr>
                <w:b/>
              </w:rPr>
            </w:pPr>
            <w:r w:rsidRPr="006A1931">
              <w:rPr>
                <w:b/>
              </w:rPr>
              <w:t>Cegléd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44DC" w:rsidRPr="006A1931" w:rsidRDefault="006644DC" w:rsidP="00D21554">
            <w:pPr>
              <w:jc w:val="center"/>
              <w:rPr>
                <w:b/>
                <w:color w:val="000000"/>
              </w:rPr>
            </w:pPr>
            <w:r w:rsidRPr="006A1931">
              <w:rPr>
                <w:b/>
                <w:color w:val="000000"/>
              </w:rPr>
              <w:t>6 500 Ft/év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44DC" w:rsidRPr="006A1931" w:rsidRDefault="006644DC" w:rsidP="00D21554">
            <w:pPr>
              <w:jc w:val="center"/>
              <w:rPr>
                <w:b/>
                <w:color w:val="000000"/>
              </w:rPr>
            </w:pPr>
            <w:r w:rsidRPr="006A1931">
              <w:rPr>
                <w:b/>
                <w:color w:val="000000"/>
              </w:rPr>
              <w:t>13 000 Ft/év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44DC" w:rsidRPr="006A1931" w:rsidRDefault="006644DC" w:rsidP="00D21554">
            <w:pPr>
              <w:jc w:val="center"/>
              <w:rPr>
                <w:b/>
                <w:color w:val="000000"/>
              </w:rPr>
            </w:pPr>
            <w:r w:rsidRPr="006A1931">
              <w:rPr>
                <w:b/>
                <w:color w:val="000000"/>
              </w:rPr>
              <w:t>780 Ft/m</w:t>
            </w:r>
            <w:r w:rsidRPr="006A1931">
              <w:rPr>
                <w:b/>
                <w:color w:val="000000"/>
                <w:vertAlign w:val="superscript"/>
              </w:rPr>
              <w:t>2</w:t>
            </w:r>
            <w:r w:rsidRPr="006A1931">
              <w:rPr>
                <w:b/>
                <w:color w:val="000000"/>
              </w:rPr>
              <w:t>/év</w:t>
            </w:r>
          </w:p>
        </w:tc>
      </w:tr>
      <w:tr w:rsidR="006644DC" w:rsidTr="00D21554">
        <w:trPr>
          <w:trHeight w:val="585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4DC" w:rsidRDefault="006644DC" w:rsidP="00D21554">
            <w:pPr>
              <w:widowControl w:val="0"/>
              <w:jc w:val="center"/>
            </w:pPr>
            <w:r>
              <w:t>Dabas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Default="006644DC" w:rsidP="00D215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8 500 Ft/év beépítetlen</w:t>
            </w:r>
          </w:p>
          <w:p w:rsidR="006644DC" w:rsidRDefault="006644DC" w:rsidP="00D21554">
            <w:pPr>
              <w:widowControl w:val="0"/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Default="006644DC" w:rsidP="00D215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17 000 Ft/</w:t>
            </w:r>
            <w:proofErr w:type="gramStart"/>
            <w:r>
              <w:rPr>
                <w:color w:val="000000"/>
              </w:rPr>
              <w:t xml:space="preserve">év  </w:t>
            </w:r>
            <w:proofErr w:type="spellStart"/>
            <w:r>
              <w:rPr>
                <w:color w:val="000000"/>
              </w:rPr>
              <w:t>lakás</w:t>
            </w:r>
            <w:proofErr w:type="gramEnd"/>
            <w:r>
              <w:rPr>
                <w:color w:val="000000"/>
              </w:rPr>
              <w:t>,lakóház</w:t>
            </w:r>
            <w:proofErr w:type="spellEnd"/>
          </w:p>
          <w:p w:rsidR="006644DC" w:rsidRDefault="006644DC" w:rsidP="00D21554">
            <w:pPr>
              <w:widowControl w:val="0"/>
              <w:jc w:val="center"/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Default="006644DC" w:rsidP="00D215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475 Ft/m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/év</w:t>
            </w:r>
          </w:p>
          <w:p w:rsidR="006644DC" w:rsidRDefault="006644DC" w:rsidP="00D21554">
            <w:pPr>
              <w:widowControl w:val="0"/>
              <w:jc w:val="center"/>
            </w:pPr>
          </w:p>
        </w:tc>
      </w:tr>
      <w:tr w:rsidR="006644DC" w:rsidTr="00D21554">
        <w:trPr>
          <w:trHeight w:val="44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4DC" w:rsidRDefault="006644DC" w:rsidP="00D21554">
            <w:pPr>
              <w:widowControl w:val="0"/>
              <w:jc w:val="center"/>
            </w:pPr>
            <w:r>
              <w:t>Vác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4DC" w:rsidRDefault="006644DC" w:rsidP="00D21554">
            <w:pPr>
              <w:widowControl w:val="0"/>
              <w:jc w:val="center"/>
            </w:pPr>
            <w:r>
              <w:t>26 000 Ft/év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4DC" w:rsidRDefault="006644DC" w:rsidP="00D21554">
            <w:pPr>
              <w:widowControl w:val="0"/>
              <w:jc w:val="center"/>
            </w:pPr>
            <w:r>
              <w:t>1260 és 1420 Ft/m</w:t>
            </w:r>
            <w:r w:rsidRPr="00FB3DCB">
              <w:rPr>
                <w:vertAlign w:val="superscript"/>
              </w:rPr>
              <w:t>2</w:t>
            </w:r>
            <w:r>
              <w:t>/év</w:t>
            </w:r>
          </w:p>
        </w:tc>
      </w:tr>
      <w:tr w:rsidR="006644DC" w:rsidTr="00D21554">
        <w:trPr>
          <w:trHeight w:val="418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Default="006644DC" w:rsidP="00D21554">
            <w:pPr>
              <w:widowControl w:val="0"/>
              <w:jc w:val="center"/>
            </w:pPr>
            <w:r>
              <w:t>Szigetszentmiklós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Default="006644DC" w:rsidP="00D21554">
            <w:pPr>
              <w:widowControl w:val="0"/>
              <w:jc w:val="center"/>
            </w:pPr>
            <w:r>
              <w:t>-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Default="006644DC" w:rsidP="00D21554">
            <w:pPr>
              <w:widowControl w:val="0"/>
              <w:jc w:val="center"/>
            </w:pPr>
            <w:r>
              <w:t>800-1 800 Ft/m</w:t>
            </w:r>
            <w:r w:rsidRPr="00FB3DCB">
              <w:rPr>
                <w:vertAlign w:val="superscript"/>
              </w:rPr>
              <w:t>2</w:t>
            </w:r>
            <w:r>
              <w:t>/év</w:t>
            </w:r>
          </w:p>
        </w:tc>
      </w:tr>
      <w:tr w:rsidR="006644DC" w:rsidTr="00D21554">
        <w:trPr>
          <w:trHeight w:val="429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4DC" w:rsidRDefault="006644DC" w:rsidP="00D21554">
            <w:pPr>
              <w:widowControl w:val="0"/>
              <w:jc w:val="center"/>
            </w:pPr>
            <w:r>
              <w:t>Abony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4DC" w:rsidRDefault="006644DC" w:rsidP="00D21554">
            <w:pPr>
              <w:widowControl w:val="0"/>
              <w:jc w:val="center"/>
            </w:pPr>
            <w:r>
              <w:t xml:space="preserve">16 000 Ft/év lakás 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4DC" w:rsidRDefault="006644DC" w:rsidP="00D21554">
            <w:pPr>
              <w:widowControl w:val="0"/>
              <w:jc w:val="center"/>
            </w:pPr>
            <w:r>
              <w:t>18 000 Ft/év bérlemény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Pr="007D5978" w:rsidRDefault="006644DC" w:rsidP="00D215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 Ft/m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/év</w:t>
            </w:r>
          </w:p>
        </w:tc>
      </w:tr>
      <w:tr w:rsidR="006644DC" w:rsidTr="00D21554">
        <w:trPr>
          <w:trHeight w:val="429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Default="006644DC" w:rsidP="00D21554">
            <w:pPr>
              <w:widowControl w:val="0"/>
              <w:jc w:val="center"/>
            </w:pPr>
            <w:r>
              <w:t>Baja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Default="006644DC" w:rsidP="00D21554">
            <w:pPr>
              <w:widowControl w:val="0"/>
              <w:jc w:val="center"/>
            </w:pPr>
            <w:r>
              <w:t>7 500 – 25 000 Ft/év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Default="006644DC" w:rsidP="00D215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 és 1 500 Ft/m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/év</w:t>
            </w:r>
          </w:p>
        </w:tc>
      </w:tr>
      <w:tr w:rsidR="006644DC" w:rsidTr="00D21554">
        <w:trPr>
          <w:trHeight w:val="429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4DC" w:rsidRDefault="006644DC" w:rsidP="00D21554">
            <w:pPr>
              <w:widowControl w:val="0"/>
              <w:jc w:val="center"/>
            </w:pPr>
            <w:r>
              <w:t>Gödöllő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4DC" w:rsidRDefault="006644DC" w:rsidP="00D21554">
            <w:pPr>
              <w:widowControl w:val="0"/>
              <w:jc w:val="center"/>
            </w:pPr>
            <w:r>
              <w:t>15 000 Ft/év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4DC" w:rsidRDefault="006644DC" w:rsidP="00D21554">
            <w:pPr>
              <w:widowControl w:val="0"/>
              <w:jc w:val="center"/>
            </w:pPr>
            <w:r>
              <w:t>25 000 Ft/év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4DC" w:rsidRDefault="006644DC" w:rsidP="00D215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500-1750 Ft/m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/év</w:t>
            </w:r>
          </w:p>
        </w:tc>
      </w:tr>
      <w:tr w:rsidR="006644DC" w:rsidTr="00D21554">
        <w:trPr>
          <w:trHeight w:val="429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Default="006644DC" w:rsidP="00D21554">
            <w:pPr>
              <w:widowControl w:val="0"/>
              <w:jc w:val="center"/>
            </w:pPr>
            <w:r>
              <w:t>Vecsés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Default="006644DC" w:rsidP="00D21554">
            <w:pPr>
              <w:widowControl w:val="0"/>
              <w:jc w:val="center"/>
            </w:pPr>
            <w:r>
              <w:t>-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Default="006644DC" w:rsidP="00D21554">
            <w:pPr>
              <w:widowControl w:val="0"/>
              <w:jc w:val="center"/>
            </w:pPr>
            <w:r>
              <w:t>-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4DC" w:rsidRDefault="006644DC" w:rsidP="00D215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 Ft/m</w:t>
            </w:r>
            <w:r w:rsidRPr="00FB3DCB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/év</w:t>
            </w:r>
          </w:p>
        </w:tc>
      </w:tr>
      <w:tr w:rsidR="00D21554" w:rsidTr="00D21554">
        <w:trPr>
          <w:trHeight w:val="429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54" w:rsidRDefault="00D21554" w:rsidP="00D21554">
            <w:pPr>
              <w:widowControl w:val="0"/>
              <w:ind w:left="22"/>
              <w:jc w:val="center"/>
            </w:pPr>
            <w:r>
              <w:t>Hatvan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54" w:rsidRDefault="00D21554" w:rsidP="00D21554">
            <w:pPr>
              <w:widowControl w:val="0"/>
              <w:jc w:val="center"/>
            </w:pPr>
            <w:r>
              <w:t>10 000-25 000 Ft/év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54" w:rsidRDefault="00D21554" w:rsidP="00D21554">
            <w:pPr>
              <w:jc w:val="center"/>
              <w:rPr>
                <w:color w:val="000000"/>
              </w:rPr>
            </w:pPr>
            <w:r>
              <w:t>800-1 800 Ft/év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54" w:rsidRDefault="00D21554" w:rsidP="00D21554">
            <w:pPr>
              <w:jc w:val="center"/>
              <w:rPr>
                <w:color w:val="000000"/>
              </w:rPr>
            </w:pPr>
          </w:p>
        </w:tc>
      </w:tr>
      <w:tr w:rsidR="00D21554" w:rsidTr="00D21554">
        <w:trPr>
          <w:trHeight w:val="429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54" w:rsidRDefault="00D21554" w:rsidP="00D21554">
            <w:pPr>
              <w:widowControl w:val="0"/>
              <w:jc w:val="center"/>
            </w:pPr>
            <w:r>
              <w:t>Mosonmagyaróvár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54" w:rsidRDefault="00D21554" w:rsidP="00D21554">
            <w:pPr>
              <w:widowControl w:val="0"/>
              <w:jc w:val="center"/>
            </w:pPr>
            <w:r>
              <w:t>-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54" w:rsidRDefault="00D21554" w:rsidP="00D21554">
            <w:pPr>
              <w:widowControl w:val="0"/>
              <w:jc w:val="center"/>
            </w:pPr>
            <w:r>
              <w:t>-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54" w:rsidRDefault="00D21554" w:rsidP="00D215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 Ft/m</w:t>
            </w:r>
            <w:r w:rsidRPr="00FB3DCB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/év</w:t>
            </w:r>
          </w:p>
        </w:tc>
      </w:tr>
    </w:tbl>
    <w:p w:rsidR="00D21554" w:rsidRDefault="00D21554" w:rsidP="000B135D">
      <w:pPr>
        <w:spacing w:after="160" w:line="259" w:lineRule="auto"/>
        <w:jc w:val="both"/>
      </w:pPr>
    </w:p>
    <w:p w:rsidR="009D06C9" w:rsidRDefault="006644DC" w:rsidP="000B135D">
      <w:pPr>
        <w:spacing w:after="160" w:line="259" w:lineRule="auto"/>
        <w:jc w:val="both"/>
      </w:pPr>
      <w:r>
        <w:t xml:space="preserve"> </w:t>
      </w:r>
      <w:r w:rsidR="00E1702D">
        <w:t xml:space="preserve">Az 2025. évi mértékemelés ellenére, hasonló vagy környező városokban továbbra is magasabb a megállapított adómérték. </w:t>
      </w:r>
    </w:p>
    <w:p w:rsidR="00E1702D" w:rsidRDefault="00E1702D" w:rsidP="000B135D">
      <w:pPr>
        <w:spacing w:after="160" w:line="259" w:lineRule="auto"/>
        <w:jc w:val="both"/>
      </w:pPr>
    </w:p>
    <w:p w:rsidR="00E1702D" w:rsidRDefault="00E1702D" w:rsidP="000B135D">
      <w:pPr>
        <w:spacing w:after="160" w:line="259" w:lineRule="auto"/>
        <w:jc w:val="both"/>
      </w:pPr>
    </w:p>
    <w:p w:rsidR="000B135D" w:rsidRDefault="000B135D" w:rsidP="000B135D">
      <w:pPr>
        <w:spacing w:after="160" w:line="259" w:lineRule="auto"/>
        <w:jc w:val="both"/>
      </w:pPr>
      <w:r>
        <w:lastRenderedPageBreak/>
        <w:t>Cegléd Város adóerőképessége évről évre növekszik, a gazdasági tevékenységet folytató társaságok, vállalkozások árbevétel növekedésének következtében. Ezzel együtt azonban az önkormányzat által fizetendő szolidaritási hozzájárulás is növekszik.</w:t>
      </w:r>
      <w:r w:rsidR="00E1702D" w:rsidRPr="00E1702D">
        <w:t xml:space="preserve"> </w:t>
      </w:r>
      <w:r w:rsidR="00E1702D">
        <w:t>(ld. fentebb).</w:t>
      </w:r>
    </w:p>
    <w:p w:rsidR="000B135D" w:rsidRDefault="000B135D" w:rsidP="000B135D">
      <w:pPr>
        <w:spacing w:after="160" w:line="259" w:lineRule="auto"/>
        <w:jc w:val="both"/>
      </w:pPr>
      <w:r>
        <w:t>2024. évről 2025. évre 140 millió forinttal nőtt a hozzájárulás mértéke, ami az idei évi mértékemelésből származó többlet adóbevétellel közel azonos összegű. 2026. évben tovább növekszik a fizetendő szolidaritási hozzájárulás összeg</w:t>
      </w:r>
      <w:r w:rsidR="0040223E">
        <w:t>e</w:t>
      </w:r>
      <w:r>
        <w:t>.</w:t>
      </w:r>
    </w:p>
    <w:p w:rsidR="00B3484B" w:rsidRDefault="0011744D" w:rsidP="00487FB6">
      <w:pPr>
        <w:spacing w:after="160" w:line="259" w:lineRule="auto"/>
        <w:jc w:val="both"/>
        <w:rPr>
          <w:szCs w:val="27"/>
          <w:shd w:val="clear" w:color="auto" w:fill="FFFFFF"/>
        </w:rPr>
      </w:pPr>
      <w:r w:rsidRPr="005F030B">
        <w:t>A</w:t>
      </w:r>
      <w:r w:rsidR="003B4316">
        <w:t xml:space="preserve"> hatályos</w:t>
      </w:r>
      <w:r w:rsidRPr="005F030B">
        <w:t xml:space="preserve"> adómérték</w:t>
      </w:r>
      <w:r w:rsidR="003B4316">
        <w:t xml:space="preserve">ek módosítása során </w:t>
      </w:r>
      <w:r w:rsidRPr="005F030B">
        <w:t xml:space="preserve">figyelembe </w:t>
      </w:r>
      <w:r w:rsidR="003B4316">
        <w:t>kell venni</w:t>
      </w:r>
      <w:r w:rsidRPr="005F030B">
        <w:t xml:space="preserve"> a </w:t>
      </w:r>
      <w:proofErr w:type="spellStart"/>
      <w:r w:rsidR="003B4316">
        <w:t>Htv</w:t>
      </w:r>
      <w:proofErr w:type="spellEnd"/>
      <w:r w:rsidR="003B4316">
        <w:t>. 7.§ g) pontjában foglaltakat, mely szerint</w:t>
      </w:r>
      <w:r w:rsidR="00AA28ED">
        <w:t xml:space="preserve"> annak meg kell felelni a</w:t>
      </w:r>
      <w:r w:rsidR="003B4316">
        <w:t xml:space="preserve"> </w:t>
      </w:r>
      <w:r w:rsidRPr="005F030B">
        <w:t>helyi a sajátosságok</w:t>
      </w:r>
      <w:r w:rsidR="00AA28ED">
        <w:t>nak</w:t>
      </w:r>
      <w:r w:rsidR="00A83CED">
        <w:t xml:space="preserve">, </w:t>
      </w:r>
      <w:r w:rsidR="001527ED">
        <w:t>adóalanyok teherviselő képességé</w:t>
      </w:r>
      <w:r w:rsidR="00AA28ED">
        <w:t>nek</w:t>
      </w:r>
      <w:r w:rsidR="00391E78">
        <w:t xml:space="preserve">, </w:t>
      </w:r>
      <w:r w:rsidR="00AA28ED" w:rsidRPr="00AA28ED">
        <w:rPr>
          <w:szCs w:val="27"/>
          <w:shd w:val="clear" w:color="auto" w:fill="FFFFFF"/>
        </w:rPr>
        <w:t>az önkormányzat gazdálkodási követelményeinek.</w:t>
      </w:r>
      <w:r w:rsidR="00AA28ED">
        <w:rPr>
          <w:szCs w:val="27"/>
          <w:shd w:val="clear" w:color="auto" w:fill="FFFFFF"/>
        </w:rPr>
        <w:t xml:space="preserve"> Ennek eleget téve a 2026. évre vonatkozó adókoncepcióban az alábbi adómértékek emelésére teszek javaslatot.</w:t>
      </w:r>
      <w:r w:rsidR="00087379">
        <w:rPr>
          <w:szCs w:val="27"/>
          <w:shd w:val="clear" w:color="auto" w:fill="FFFFFF"/>
        </w:rPr>
        <w:t xml:space="preserve"> </w:t>
      </w:r>
    </w:p>
    <w:p w:rsidR="00087379" w:rsidRDefault="00087379" w:rsidP="00487FB6">
      <w:pPr>
        <w:spacing w:after="160" w:line="259" w:lineRule="auto"/>
        <w:jc w:val="both"/>
      </w:pPr>
    </w:p>
    <w:p w:rsidR="00844061" w:rsidRDefault="00844061" w:rsidP="00844061">
      <w:pPr>
        <w:pStyle w:val="Listaszerbekezds"/>
        <w:numPr>
          <w:ilvl w:val="0"/>
          <w:numId w:val="5"/>
        </w:numPr>
        <w:spacing w:after="160" w:line="259" w:lineRule="auto"/>
        <w:jc w:val="center"/>
        <w:rPr>
          <w:u w:val="single"/>
        </w:rPr>
      </w:pPr>
    </w:p>
    <w:p w:rsidR="00E1702D" w:rsidRDefault="00B3484B" w:rsidP="00E1702D">
      <w:pPr>
        <w:jc w:val="both"/>
      </w:pPr>
      <w:r w:rsidRPr="00AA28ED">
        <w:rPr>
          <w:shd w:val="clear" w:color="auto" w:fill="FFFFFF"/>
        </w:rPr>
        <w:t>Építménya</w:t>
      </w:r>
      <w:r w:rsidR="0044039C" w:rsidRPr="00AA28ED">
        <w:rPr>
          <w:shd w:val="clear" w:color="auto" w:fill="FFFFFF"/>
        </w:rPr>
        <w:t>d</w:t>
      </w:r>
      <w:r w:rsidRPr="00AA28ED">
        <w:rPr>
          <w:shd w:val="clear" w:color="auto" w:fill="FFFFFF"/>
        </w:rPr>
        <w:t>ó esetében adóköteles az önkormányzat illetékességi területén lévő építmények közül a lakás és a nem lakás céljára szolgáló épület, épületrész (a továbbiakban együtt: építmény), Az adókötelezettség az építmény valamennyi helyiségére kiterjed, annak rendeltetésétől, illetőleg hasznosításától függetlenül.</w:t>
      </w:r>
      <w:r w:rsidR="0011744D" w:rsidRPr="00B3484B">
        <w:t xml:space="preserve"> </w:t>
      </w:r>
      <w:r>
        <w:t xml:space="preserve">Ez alóli mentességet </w:t>
      </w:r>
      <w:r w:rsidRPr="00E1702D">
        <w:rPr>
          <w:i/>
        </w:rPr>
        <w:t>az építményadóról szóló 28/2010. (XII.23.) számú önkormányzati rendelet</w:t>
      </w:r>
      <w:r w:rsidR="0040223E">
        <w:rPr>
          <w:i/>
        </w:rPr>
        <w:t xml:space="preserve"> 3.§ (1) bekezdés </w:t>
      </w:r>
      <w:proofErr w:type="gramStart"/>
      <w:r w:rsidR="0040223E">
        <w:rPr>
          <w:i/>
        </w:rPr>
        <w:t>a)-</w:t>
      </w:r>
      <w:proofErr w:type="gramEnd"/>
      <w:r w:rsidR="0040223E">
        <w:rPr>
          <w:i/>
        </w:rPr>
        <w:t>e) pontjai</w:t>
      </w:r>
      <w:r w:rsidR="00E1702D">
        <w:rPr>
          <w:i/>
        </w:rPr>
        <w:t xml:space="preserve"> - </w:t>
      </w:r>
      <w:hyperlink r:id="rId9" w:history="1">
        <w:r w:rsidR="00E1702D" w:rsidRPr="00E1702D">
          <w:rPr>
            <w:rStyle w:val="Hiperhivatkozs"/>
          </w:rPr>
          <w:t>https://or.njt.hu/eli/731234/r/2010/28</w:t>
        </w:r>
      </w:hyperlink>
      <w:r w:rsidR="00E1702D">
        <w:tab/>
        <w:t xml:space="preserve"> - </w:t>
      </w:r>
    </w:p>
    <w:p w:rsidR="00FB6863" w:rsidRDefault="00B3484B" w:rsidP="00E1702D">
      <w:pPr>
        <w:spacing w:after="160" w:line="259" w:lineRule="auto"/>
        <w:jc w:val="both"/>
      </w:pPr>
      <w:r>
        <w:t>fogalmaz</w:t>
      </w:r>
      <w:r w:rsidR="0040223E">
        <w:t>nak</w:t>
      </w:r>
      <w:r>
        <w:t xml:space="preserve"> meg, ami alapján </w:t>
      </w:r>
      <w:r w:rsidRPr="00AA28ED">
        <w:rPr>
          <w:b/>
        </w:rPr>
        <w:t>Cegléd Városban az üzleti célt szolgáló építmények az adóköteles tárgyak.</w:t>
      </w:r>
      <w:r w:rsidR="0011744D" w:rsidRPr="00AA28ED">
        <w:rPr>
          <w:b/>
        </w:rPr>
        <w:t xml:space="preserve"> </w:t>
      </w:r>
      <w:r w:rsidRPr="00AA28ED">
        <w:rPr>
          <w:b/>
        </w:rPr>
        <w:t>Ez azt jelenti, hogy elsődlegesen a vállalkozók, gazdasági tevékenységet folytató társaságok az adóalanyok</w:t>
      </w:r>
      <w:r w:rsidR="00524BA7" w:rsidRPr="00AA28ED">
        <w:rPr>
          <w:b/>
        </w:rPr>
        <w:t>,</w:t>
      </w:r>
      <w:r w:rsidRPr="00AA28ED">
        <w:rPr>
          <w:b/>
        </w:rPr>
        <w:t xml:space="preserve"> aki</w:t>
      </w:r>
      <w:r w:rsidR="00524BA7" w:rsidRPr="00AA28ED">
        <w:rPr>
          <w:b/>
        </w:rPr>
        <w:t>k</w:t>
      </w:r>
      <w:r w:rsidRPr="00AA28ED">
        <w:rPr>
          <w:b/>
        </w:rPr>
        <w:t xml:space="preserve"> helyi iparűzési </w:t>
      </w:r>
      <w:proofErr w:type="gramStart"/>
      <w:r w:rsidRPr="00AA28ED">
        <w:rPr>
          <w:b/>
        </w:rPr>
        <w:t>adó</w:t>
      </w:r>
      <w:r w:rsidR="00FB6863" w:rsidRPr="00AA28ED">
        <w:rPr>
          <w:b/>
        </w:rPr>
        <w:t xml:space="preserve"> fizetés</w:t>
      </w:r>
      <w:proofErr w:type="gramEnd"/>
      <w:r w:rsidR="00FB6863" w:rsidRPr="00AA28ED">
        <w:rPr>
          <w:b/>
        </w:rPr>
        <w:t xml:space="preserve"> alá is esnek</w:t>
      </w:r>
      <w:r w:rsidR="00FB6863">
        <w:t>.</w:t>
      </w:r>
    </w:p>
    <w:p w:rsidR="00AA28ED" w:rsidRDefault="00AA28ED" w:rsidP="00487FB6">
      <w:pPr>
        <w:spacing w:after="160" w:line="259" w:lineRule="auto"/>
        <w:jc w:val="both"/>
      </w:pPr>
    </w:p>
    <w:p w:rsidR="00610A84" w:rsidRDefault="00516CBD" w:rsidP="00487FB6">
      <w:pPr>
        <w:spacing w:after="160" w:line="259" w:lineRule="auto"/>
        <w:jc w:val="both"/>
      </w:pPr>
      <w:r>
        <w:t>A fentiekre va</w:t>
      </w:r>
      <w:r w:rsidR="00B02AFC">
        <w:t>l</w:t>
      </w:r>
      <w:r>
        <w:t xml:space="preserve">ó tekintettel </w:t>
      </w:r>
      <w:proofErr w:type="spellStart"/>
      <w:r>
        <w:t>javasol</w:t>
      </w:r>
      <w:r w:rsidR="00087379">
        <w:t>om</w:t>
      </w:r>
      <w:proofErr w:type="spellEnd"/>
      <w:r w:rsidR="00B02AFC">
        <w:t xml:space="preserve"> </w:t>
      </w:r>
      <w:r w:rsidR="00B02AFC" w:rsidRPr="000C669D">
        <w:rPr>
          <w:b/>
        </w:rPr>
        <w:t>a jelenleg hatályos 780 Ft/m</w:t>
      </w:r>
      <w:r w:rsidR="00B02AFC" w:rsidRPr="000C669D">
        <w:rPr>
          <w:b/>
          <w:vertAlign w:val="superscript"/>
        </w:rPr>
        <w:t xml:space="preserve">2 </w:t>
      </w:r>
      <w:r w:rsidR="00B02AFC" w:rsidRPr="000C669D">
        <w:rPr>
          <w:b/>
        </w:rPr>
        <w:t>mértéket 9</w:t>
      </w:r>
      <w:r w:rsidR="00D84E6A">
        <w:rPr>
          <w:b/>
        </w:rPr>
        <w:t>5</w:t>
      </w:r>
      <w:r w:rsidR="00B02AFC" w:rsidRPr="000C669D">
        <w:rPr>
          <w:b/>
        </w:rPr>
        <w:t>0 Ft/m</w:t>
      </w:r>
      <w:r w:rsidR="00B02AFC" w:rsidRPr="000C669D">
        <w:rPr>
          <w:b/>
          <w:vertAlign w:val="superscript"/>
        </w:rPr>
        <w:t>2</w:t>
      </w:r>
      <w:r w:rsidR="00B02AFC" w:rsidRPr="000C669D">
        <w:rPr>
          <w:b/>
        </w:rPr>
        <w:t xml:space="preserve">-re </w:t>
      </w:r>
      <w:r w:rsidR="0040223E">
        <w:rPr>
          <w:b/>
        </w:rPr>
        <w:t>emelni</w:t>
      </w:r>
      <w:r w:rsidR="00B02AFC" w:rsidRPr="000C669D">
        <w:rPr>
          <w:b/>
        </w:rPr>
        <w:t>,</w:t>
      </w:r>
      <w:r w:rsidR="008C12CA">
        <w:t xml:space="preserve"> ami még mindig </w:t>
      </w:r>
      <w:r w:rsidR="008C12CA" w:rsidRPr="000C669D">
        <w:rPr>
          <w:b/>
        </w:rPr>
        <w:t>a törvény által megengedett felső érték és az adómaximum alatt van</w:t>
      </w:r>
      <w:r w:rsidR="008C12CA">
        <w:t xml:space="preserve">. </w:t>
      </w:r>
      <w:r w:rsidR="00087379">
        <w:t>Ez az emelés</w:t>
      </w:r>
      <w:r w:rsidR="00B02AFC">
        <w:t xml:space="preserve"> </w:t>
      </w:r>
      <w:r w:rsidR="00E1702D">
        <w:t>mintegy</w:t>
      </w:r>
      <w:r w:rsidR="007C66B6">
        <w:t xml:space="preserve"> </w:t>
      </w:r>
      <w:r w:rsidR="00170603">
        <w:rPr>
          <w:b/>
        </w:rPr>
        <w:t>8</w:t>
      </w:r>
      <w:r w:rsidR="00F019B7">
        <w:rPr>
          <w:b/>
        </w:rPr>
        <w:t>5</w:t>
      </w:r>
      <w:r w:rsidR="00B02AFC" w:rsidRPr="000C669D">
        <w:rPr>
          <w:b/>
        </w:rPr>
        <w:t xml:space="preserve"> millió forint többlet</w:t>
      </w:r>
      <w:r w:rsidR="00610A84">
        <w:rPr>
          <w:b/>
        </w:rPr>
        <w:t>et eredményezhet</w:t>
      </w:r>
      <w:r w:rsidR="00B02AFC">
        <w:t xml:space="preserve"> az Építményadó bevétel</w:t>
      </w:r>
      <w:r w:rsidR="0044039C">
        <w:t>ben</w:t>
      </w:r>
      <w:r w:rsidR="00B02AFC">
        <w:t>.</w:t>
      </w:r>
      <w:r w:rsidR="007C66B6">
        <w:t xml:space="preserve"> </w:t>
      </w:r>
      <w:r w:rsidR="00610A84">
        <w:t xml:space="preserve"> </w:t>
      </w:r>
      <w:r w:rsidR="00087379">
        <w:t>K</w:t>
      </w:r>
      <w:r w:rsidR="00610A84">
        <w:t>öltség</w:t>
      </w:r>
      <w:r w:rsidR="00087379">
        <w:t>ként pedig,</w:t>
      </w:r>
      <w:r w:rsidR="00832FF0">
        <w:t xml:space="preserve"> az elektronikus kapcsolattartás szabályainak betartása mellett </w:t>
      </w:r>
      <w:r w:rsidR="000745EB">
        <w:t>850-900 ezer forint összeg</w:t>
      </w:r>
      <w:r w:rsidR="00087379">
        <w:t xml:space="preserve"> </w:t>
      </w:r>
      <w:r w:rsidR="000745EB">
        <w:t>jelent</w:t>
      </w:r>
      <w:r w:rsidR="00087379">
        <w:t>kezik</w:t>
      </w:r>
      <w:r w:rsidR="000745EB">
        <w:t>.</w:t>
      </w:r>
    </w:p>
    <w:p w:rsidR="00EF0AB4" w:rsidRDefault="00EF0AB4" w:rsidP="0011744D">
      <w:pPr>
        <w:spacing w:after="160" w:line="259" w:lineRule="auto"/>
        <w:ind w:left="360"/>
        <w:jc w:val="both"/>
      </w:pPr>
    </w:p>
    <w:p w:rsidR="00EF0AB4" w:rsidRPr="00EF0AB4" w:rsidRDefault="00087379" w:rsidP="0011744D">
      <w:pPr>
        <w:spacing w:after="160" w:line="259" w:lineRule="auto"/>
        <w:ind w:left="360"/>
        <w:jc w:val="both"/>
        <w:rPr>
          <w:u w:val="single"/>
        </w:rPr>
      </w:pPr>
      <w:r>
        <w:rPr>
          <w:u w:val="single"/>
        </w:rPr>
        <w:t>Megemelt</w:t>
      </w:r>
      <w:r w:rsidR="00EF0AB4" w:rsidRPr="00EF0AB4">
        <w:rPr>
          <w:u w:val="single"/>
        </w:rPr>
        <w:t xml:space="preserve"> adómérték összeg</w:t>
      </w:r>
      <w:r>
        <w:rPr>
          <w:u w:val="single"/>
        </w:rPr>
        <w:t>g</w:t>
      </w:r>
      <w:r w:rsidR="00EF0AB4" w:rsidRPr="00EF0AB4">
        <w:rPr>
          <w:u w:val="single"/>
        </w:rPr>
        <w:t>e</w:t>
      </w:r>
      <w:r>
        <w:rPr>
          <w:u w:val="single"/>
        </w:rPr>
        <w:t>l</w:t>
      </w:r>
      <w:r w:rsidR="00EF0AB4" w:rsidRPr="00EF0AB4">
        <w:rPr>
          <w:u w:val="single"/>
        </w:rPr>
        <w:t xml:space="preserve"> elérhető többletbevétel:</w:t>
      </w:r>
    </w:p>
    <w:tbl>
      <w:tblPr>
        <w:tblStyle w:val="Rcsostblzat"/>
        <w:tblW w:w="6379" w:type="dxa"/>
        <w:tblInd w:w="1995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4A0" w:firstRow="1" w:lastRow="0" w:firstColumn="1" w:lastColumn="0" w:noHBand="0" w:noVBand="1"/>
      </w:tblPr>
      <w:tblGrid>
        <w:gridCol w:w="2977"/>
        <w:gridCol w:w="1701"/>
        <w:gridCol w:w="1701"/>
      </w:tblGrid>
      <w:tr w:rsidR="00087379" w:rsidTr="00087379">
        <w:trPr>
          <w:trHeight w:val="421"/>
        </w:trPr>
        <w:tc>
          <w:tcPr>
            <w:tcW w:w="2977" w:type="dxa"/>
            <w:vAlign w:val="center"/>
          </w:tcPr>
          <w:p w:rsidR="00087379" w:rsidRPr="00E24D99" w:rsidRDefault="00087379" w:rsidP="00E24D9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Adóalap (m</w:t>
            </w:r>
            <w:r>
              <w:rPr>
                <w:b/>
                <w:bCs/>
                <w:color w:val="000000"/>
                <w:vertAlign w:val="superscript"/>
              </w:rPr>
              <w:t>2</w:t>
            </w:r>
            <w:r>
              <w:rPr>
                <w:b/>
                <w:bCs/>
                <w:color w:val="000000"/>
              </w:rPr>
              <w:t>)</w:t>
            </w:r>
          </w:p>
        </w:tc>
        <w:tc>
          <w:tcPr>
            <w:tcW w:w="3402" w:type="dxa"/>
            <w:gridSpan w:val="2"/>
            <w:vAlign w:val="center"/>
          </w:tcPr>
          <w:p w:rsidR="00087379" w:rsidRPr="00FE6464" w:rsidRDefault="00087379" w:rsidP="00032687">
            <w:pPr>
              <w:tabs>
                <w:tab w:val="left" w:pos="2505"/>
              </w:tabs>
              <w:jc w:val="center"/>
            </w:pPr>
            <w:r>
              <w:t>505 210</w:t>
            </w:r>
          </w:p>
        </w:tc>
      </w:tr>
      <w:tr w:rsidR="00087379" w:rsidTr="00087379">
        <w:tc>
          <w:tcPr>
            <w:tcW w:w="2977" w:type="dxa"/>
            <w:vAlign w:val="center"/>
          </w:tcPr>
          <w:p w:rsidR="00087379" w:rsidRPr="00E24D99" w:rsidRDefault="00087379" w:rsidP="00E24D9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Adómérték (Ft/m</w:t>
            </w:r>
            <w:r w:rsidRPr="00FE6464">
              <w:rPr>
                <w:b/>
                <w:bCs/>
                <w:color w:val="000000"/>
                <w:vertAlign w:val="superscript"/>
              </w:rPr>
              <w:t>2</w:t>
            </w:r>
            <w:r>
              <w:rPr>
                <w:b/>
                <w:bCs/>
                <w:color w:val="000000"/>
              </w:rPr>
              <w:t>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87379" w:rsidRDefault="00087379" w:rsidP="00032687">
            <w:pPr>
              <w:tabs>
                <w:tab w:val="left" w:pos="3930"/>
              </w:tabs>
              <w:jc w:val="center"/>
            </w:pPr>
            <w:r>
              <w:t>780</w:t>
            </w:r>
          </w:p>
        </w:tc>
        <w:tc>
          <w:tcPr>
            <w:tcW w:w="1701" w:type="dxa"/>
            <w:vAlign w:val="center"/>
          </w:tcPr>
          <w:p w:rsidR="00087379" w:rsidRDefault="00087379" w:rsidP="00032687">
            <w:pPr>
              <w:tabs>
                <w:tab w:val="left" w:pos="3930"/>
              </w:tabs>
              <w:jc w:val="center"/>
            </w:pPr>
            <w:r>
              <w:t>950</w:t>
            </w:r>
          </w:p>
        </w:tc>
      </w:tr>
      <w:tr w:rsidR="00087379" w:rsidTr="00087379">
        <w:tc>
          <w:tcPr>
            <w:tcW w:w="2977" w:type="dxa"/>
            <w:vAlign w:val="center"/>
          </w:tcPr>
          <w:p w:rsidR="00087379" w:rsidRPr="00E24D99" w:rsidRDefault="00087379" w:rsidP="002F630F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FE6464">
              <w:rPr>
                <w:b/>
                <w:bCs/>
                <w:color w:val="000000"/>
                <w:szCs w:val="28"/>
              </w:rPr>
              <w:t>Tervezhető éves előírás (Ft)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87379" w:rsidRDefault="00087379" w:rsidP="00032687">
            <w:pPr>
              <w:tabs>
                <w:tab w:val="left" w:pos="3930"/>
              </w:tabs>
              <w:jc w:val="center"/>
            </w:pPr>
            <w:r>
              <w:t xml:space="preserve">394 063 800 </w:t>
            </w:r>
          </w:p>
        </w:tc>
        <w:tc>
          <w:tcPr>
            <w:tcW w:w="1701" w:type="dxa"/>
            <w:vAlign w:val="center"/>
          </w:tcPr>
          <w:p w:rsidR="00087379" w:rsidRDefault="00087379" w:rsidP="00032687">
            <w:pPr>
              <w:tabs>
                <w:tab w:val="left" w:pos="3930"/>
              </w:tabs>
              <w:jc w:val="center"/>
            </w:pPr>
            <w:r>
              <w:t>479 949 500</w:t>
            </w:r>
          </w:p>
        </w:tc>
      </w:tr>
      <w:tr w:rsidR="00087379" w:rsidTr="00087379">
        <w:tc>
          <w:tcPr>
            <w:tcW w:w="2977" w:type="dxa"/>
            <w:vAlign w:val="center"/>
          </w:tcPr>
          <w:p w:rsidR="00087379" w:rsidRPr="00FE6464" w:rsidRDefault="00087379" w:rsidP="002F630F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Tervezhető többletbevétel (Ft)</w:t>
            </w:r>
          </w:p>
        </w:tc>
        <w:tc>
          <w:tcPr>
            <w:tcW w:w="1701" w:type="dxa"/>
            <w:vAlign w:val="center"/>
          </w:tcPr>
          <w:p w:rsidR="00087379" w:rsidRDefault="00087379" w:rsidP="00032687">
            <w:pPr>
              <w:tabs>
                <w:tab w:val="left" w:pos="3930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087379" w:rsidRDefault="00087379" w:rsidP="00032687">
            <w:pPr>
              <w:tabs>
                <w:tab w:val="left" w:pos="3930"/>
              </w:tabs>
              <w:jc w:val="center"/>
            </w:pPr>
            <w:r>
              <w:t>85 887 700</w:t>
            </w:r>
          </w:p>
        </w:tc>
      </w:tr>
    </w:tbl>
    <w:p w:rsidR="00FB6863" w:rsidRDefault="00FB6863" w:rsidP="0011744D">
      <w:pPr>
        <w:spacing w:after="160" w:line="259" w:lineRule="auto"/>
        <w:ind w:left="360"/>
        <w:jc w:val="both"/>
      </w:pPr>
      <w:r>
        <w:t xml:space="preserve"> </w:t>
      </w:r>
    </w:p>
    <w:p w:rsidR="00087379" w:rsidRDefault="00087379" w:rsidP="002F1082">
      <w:pPr>
        <w:spacing w:after="160" w:line="259" w:lineRule="auto"/>
        <w:jc w:val="both"/>
      </w:pPr>
    </w:p>
    <w:p w:rsidR="00087379" w:rsidRPr="00087379" w:rsidRDefault="00844061" w:rsidP="00087379">
      <w:pPr>
        <w:spacing w:after="160" w:line="259" w:lineRule="auto"/>
        <w:jc w:val="center"/>
        <w:rPr>
          <w:b/>
        </w:rPr>
      </w:pPr>
      <w:r>
        <w:rPr>
          <w:b/>
        </w:rPr>
        <w:t>I</w:t>
      </w:r>
      <w:r w:rsidR="00087379" w:rsidRPr="00087379">
        <w:rPr>
          <w:b/>
        </w:rPr>
        <w:t>I.</w:t>
      </w:r>
    </w:p>
    <w:p w:rsidR="00E1702D" w:rsidRDefault="00F0241E" w:rsidP="00F0241E">
      <w:pPr>
        <w:spacing w:after="160" w:line="259" w:lineRule="auto"/>
        <w:jc w:val="both"/>
      </w:pPr>
      <w:r w:rsidRPr="00F43D27">
        <w:rPr>
          <w:b/>
        </w:rPr>
        <w:t xml:space="preserve">Magánszemélyeket terhelő kommunális adó adónemben </w:t>
      </w:r>
      <w:r>
        <w:rPr>
          <w:b/>
        </w:rPr>
        <w:t>történő mértékemelés</w:t>
      </w:r>
      <w:r>
        <w:t xml:space="preserve"> jelentős adózói kört érint. </w:t>
      </w:r>
      <w:r w:rsidRPr="008637BC">
        <w:t xml:space="preserve">Az adónemben </w:t>
      </w:r>
      <w:r w:rsidRPr="009A39DF">
        <w:rPr>
          <w:b/>
        </w:rPr>
        <w:t>12 616 adózó szerepel adóalanyként</w:t>
      </w:r>
      <w:r w:rsidRPr="008637BC">
        <w:t>,</w:t>
      </w:r>
      <w:r w:rsidR="00F02467">
        <w:t xml:space="preserve"> </w:t>
      </w:r>
      <w:r w:rsidRPr="009A39DF">
        <w:rPr>
          <w:i/>
        </w:rPr>
        <w:t>6</w:t>
      </w:r>
      <w:r w:rsidR="00F02467">
        <w:rPr>
          <w:i/>
        </w:rPr>
        <w:t>88</w:t>
      </w:r>
      <w:r w:rsidR="00C27EE1">
        <w:rPr>
          <w:i/>
        </w:rPr>
        <w:t>9</w:t>
      </w:r>
      <w:r w:rsidRPr="009A39DF">
        <w:rPr>
          <w:i/>
        </w:rPr>
        <w:t xml:space="preserve"> db 70 m</w:t>
      </w:r>
      <w:r w:rsidRPr="009A39DF">
        <w:rPr>
          <w:i/>
          <w:vertAlign w:val="superscript"/>
        </w:rPr>
        <w:t>2</w:t>
      </w:r>
      <w:r w:rsidRPr="009A39DF">
        <w:rPr>
          <w:i/>
        </w:rPr>
        <w:t xml:space="preserve"> alatti </w:t>
      </w:r>
      <w:r w:rsidRPr="00E1702D">
        <w:rPr>
          <w:i/>
        </w:rPr>
        <w:t>(</w:t>
      </w:r>
      <w:r w:rsidR="00E1702D" w:rsidRPr="00E1702D">
        <w:rPr>
          <w:sz w:val="23"/>
          <w:szCs w:val="23"/>
        </w:rPr>
        <w:t>ezen belül a szabályos csapadékvíz-elvezetés okán</w:t>
      </w:r>
      <w:r w:rsidR="00E1702D">
        <w:rPr>
          <w:i/>
        </w:rPr>
        <w:t xml:space="preserve"> </w:t>
      </w:r>
      <w:r w:rsidR="00F02467">
        <w:rPr>
          <w:i/>
        </w:rPr>
        <w:t>2318</w:t>
      </w:r>
      <w:r w:rsidRPr="009A39DF">
        <w:rPr>
          <w:i/>
        </w:rPr>
        <w:t xml:space="preserve"> db kedvezményes</w:t>
      </w:r>
      <w:proofErr w:type="gramStart"/>
      <w:r w:rsidRPr="009A39DF">
        <w:rPr>
          <w:i/>
        </w:rPr>
        <w:t xml:space="preserve">),  </w:t>
      </w:r>
      <w:r w:rsidR="00595750">
        <w:rPr>
          <w:i/>
        </w:rPr>
        <w:t>6069</w:t>
      </w:r>
      <w:proofErr w:type="gramEnd"/>
      <w:r w:rsidRPr="009A39DF">
        <w:rPr>
          <w:i/>
        </w:rPr>
        <w:t xml:space="preserve"> db  70 m</w:t>
      </w:r>
      <w:r w:rsidRPr="009A39DF">
        <w:rPr>
          <w:i/>
          <w:vertAlign w:val="superscript"/>
        </w:rPr>
        <w:t>2</w:t>
      </w:r>
      <w:r w:rsidRPr="009A39DF">
        <w:rPr>
          <w:i/>
        </w:rPr>
        <w:t xml:space="preserve"> feletti (</w:t>
      </w:r>
      <w:r w:rsidR="00E1702D" w:rsidRPr="00E1702D">
        <w:rPr>
          <w:sz w:val="23"/>
          <w:szCs w:val="23"/>
        </w:rPr>
        <w:t>ezen belül a szabályos csapadékvíz-elvezetés okán</w:t>
      </w:r>
      <w:r w:rsidR="00E1702D">
        <w:rPr>
          <w:i/>
        </w:rPr>
        <w:t xml:space="preserve"> </w:t>
      </w:r>
      <w:r w:rsidRPr="009A39DF">
        <w:rPr>
          <w:i/>
        </w:rPr>
        <w:t>15</w:t>
      </w:r>
      <w:r w:rsidR="00595750">
        <w:rPr>
          <w:i/>
        </w:rPr>
        <w:t>8</w:t>
      </w:r>
      <w:r w:rsidR="00937D17">
        <w:rPr>
          <w:i/>
        </w:rPr>
        <w:t>7</w:t>
      </w:r>
      <w:r w:rsidRPr="009A39DF">
        <w:rPr>
          <w:i/>
        </w:rPr>
        <w:t xml:space="preserve"> db kedvezményes) és 22</w:t>
      </w:r>
      <w:r w:rsidR="00595750">
        <w:rPr>
          <w:i/>
        </w:rPr>
        <w:t>8</w:t>
      </w:r>
      <w:r w:rsidRPr="009A39DF">
        <w:rPr>
          <w:i/>
        </w:rPr>
        <w:t xml:space="preserve"> db beépítetlen telek ingatlan</w:t>
      </w:r>
      <w:r w:rsidRPr="008637BC">
        <w:t xml:space="preserve"> után adóz</w:t>
      </w:r>
      <w:r w:rsidR="00595750">
        <w:t xml:space="preserve">tatott </w:t>
      </w:r>
      <w:r w:rsidR="00E1702D">
        <w:t>adótárggyal</w:t>
      </w:r>
      <w:r w:rsidRPr="008637BC">
        <w:t>.</w:t>
      </w:r>
      <w:r>
        <w:t xml:space="preserve"> </w:t>
      </w:r>
    </w:p>
    <w:p w:rsidR="00F0241E" w:rsidRDefault="00F0241E" w:rsidP="00F0241E">
      <w:pPr>
        <w:spacing w:after="160" w:line="259" w:lineRule="auto"/>
        <w:jc w:val="both"/>
      </w:pPr>
      <w:r>
        <w:lastRenderedPageBreak/>
        <w:t xml:space="preserve">Ezen adózói szám esetében a mértékemelés során a jelenlegi postai díjszabásokat figyelembe véve </w:t>
      </w:r>
      <w:r>
        <w:rPr>
          <w:b/>
        </w:rPr>
        <w:t>19</w:t>
      </w:r>
      <w:r w:rsidRPr="00806C10">
        <w:rPr>
          <w:b/>
        </w:rPr>
        <w:t>-</w:t>
      </w:r>
      <w:r>
        <w:rPr>
          <w:b/>
        </w:rPr>
        <w:t>20</w:t>
      </w:r>
      <w:r w:rsidRPr="009A39DF">
        <w:rPr>
          <w:b/>
        </w:rPr>
        <w:t xml:space="preserve"> millió forint költséget jelent az adóhatósági döntések kézbesítése</w:t>
      </w:r>
      <w:r>
        <w:rPr>
          <w:b/>
        </w:rPr>
        <w:t xml:space="preserve">, </w:t>
      </w:r>
      <w:r w:rsidRPr="00EF5A5C">
        <w:t xml:space="preserve">ami </w:t>
      </w:r>
      <w:r w:rsidR="0040223E">
        <w:t xml:space="preserve">nem hagyható </w:t>
      </w:r>
      <w:r>
        <w:t>figyelm</w:t>
      </w:r>
      <w:r w:rsidR="0040223E">
        <w:t>en kívül</w:t>
      </w:r>
      <w:r>
        <w:t>.</w:t>
      </w:r>
      <w:r w:rsidR="00C16C72">
        <w:t xml:space="preserve"> Jelenlegi adómértékek a 70 m</w:t>
      </w:r>
      <w:r w:rsidR="00C16C72" w:rsidRPr="00FF6551">
        <w:rPr>
          <w:vertAlign w:val="superscript"/>
        </w:rPr>
        <w:t>2</w:t>
      </w:r>
      <w:r w:rsidR="00C16C72">
        <w:t xml:space="preserve"> alatti lakások/lakóházak esetében </w:t>
      </w:r>
      <w:r w:rsidR="00FF6551">
        <w:t>6 500 Ft/év, a 70 m</w:t>
      </w:r>
      <w:r w:rsidR="00FF6551" w:rsidRPr="00FF6551">
        <w:rPr>
          <w:vertAlign w:val="superscript"/>
        </w:rPr>
        <w:t>2</w:t>
      </w:r>
      <w:r w:rsidR="00FF6551">
        <w:t xml:space="preserve"> felettiek esetében 13 000 Ft/év. E mellett az önkormányzati rendeletünk 20 %-os kedvezményt biztosít az éves adó összegéből az azt kérelmezőknek az előírásnak megfelelő csapadákvíz elvezetés esetén.</w:t>
      </w:r>
    </w:p>
    <w:p w:rsidR="00595750" w:rsidRDefault="00595750" w:rsidP="00F0241E">
      <w:pPr>
        <w:spacing w:after="160" w:line="259" w:lineRule="auto"/>
        <w:jc w:val="both"/>
      </w:pPr>
    </w:p>
    <w:p w:rsidR="00C16C72" w:rsidRDefault="00595750" w:rsidP="00C16C72">
      <w:pPr>
        <w:spacing w:after="160" w:line="259" w:lineRule="auto"/>
        <w:jc w:val="both"/>
        <w:rPr>
          <w:i/>
        </w:rPr>
      </w:pPr>
      <w:r>
        <w:t xml:space="preserve">Az önkormányzat gazdasági helyzetére, az adóbevételre, mint </w:t>
      </w:r>
      <w:r w:rsidR="0040223E">
        <w:t xml:space="preserve">legfontosabb és </w:t>
      </w:r>
      <w:r>
        <w:t>elsődleges bevételi forrásra</w:t>
      </w:r>
      <w:r w:rsidR="008267F8">
        <w:t>, valamint</w:t>
      </w:r>
      <w:r>
        <w:t xml:space="preserve"> a mértékváltással keletkező magas költségekre tekintettel</w:t>
      </w:r>
      <w:r w:rsidR="00C16C72">
        <w:t xml:space="preserve">, figyelembe véve </w:t>
      </w:r>
      <w:r w:rsidR="00C16C72">
        <w:rPr>
          <w:b/>
        </w:rPr>
        <w:t>a valorizációs adómaximumot</w:t>
      </w:r>
      <w:r w:rsidR="008267F8">
        <w:rPr>
          <w:b/>
        </w:rPr>
        <w:t xml:space="preserve"> -</w:t>
      </w:r>
      <w:r w:rsidR="00C16C72">
        <w:rPr>
          <w:b/>
        </w:rPr>
        <w:t xml:space="preserve"> ami lehetővé teszi a törvényi felső mértéket túllépni</w:t>
      </w:r>
      <w:r w:rsidR="008267F8">
        <w:rPr>
          <w:b/>
        </w:rPr>
        <w:t xml:space="preserve"> -</w:t>
      </w:r>
      <w:r w:rsidR="00C16C72">
        <w:rPr>
          <w:b/>
        </w:rPr>
        <w:t xml:space="preserve"> javaslom </w:t>
      </w:r>
      <w:r>
        <w:t xml:space="preserve">  </w:t>
      </w:r>
      <w:r w:rsidR="008267F8" w:rsidRPr="008267F8">
        <w:rPr>
          <w:b/>
        </w:rPr>
        <w:t>a</w:t>
      </w:r>
      <w:r w:rsidR="008267F8">
        <w:t xml:space="preserve"> </w:t>
      </w:r>
      <w:r w:rsidR="00C16C72">
        <w:rPr>
          <w:b/>
        </w:rPr>
        <w:t>70 m</w:t>
      </w:r>
      <w:r w:rsidR="00C16C72" w:rsidRPr="0097614B">
        <w:rPr>
          <w:b/>
          <w:vertAlign w:val="superscript"/>
        </w:rPr>
        <w:t>2</w:t>
      </w:r>
      <w:r w:rsidR="00C16C72">
        <w:rPr>
          <w:b/>
        </w:rPr>
        <w:t xml:space="preserve"> feletti</w:t>
      </w:r>
      <w:r w:rsidR="00C16C72" w:rsidRPr="00C16C72">
        <w:rPr>
          <w:b/>
        </w:rPr>
        <w:t xml:space="preserve"> </w:t>
      </w:r>
      <w:r w:rsidR="00C16C72">
        <w:rPr>
          <w:b/>
        </w:rPr>
        <w:t>lakóházak/</w:t>
      </w:r>
      <w:r w:rsidR="00C16C72" w:rsidRPr="00FD6438">
        <w:rPr>
          <w:b/>
        </w:rPr>
        <w:t xml:space="preserve">lakások </w:t>
      </w:r>
      <w:r w:rsidR="00C16C72">
        <w:rPr>
          <w:b/>
        </w:rPr>
        <w:t>esetében 20 000 Ft/év, a 70 m</w:t>
      </w:r>
      <w:r w:rsidR="00C16C72" w:rsidRPr="0097614B">
        <w:rPr>
          <w:b/>
          <w:vertAlign w:val="superscript"/>
        </w:rPr>
        <w:t>2</w:t>
      </w:r>
      <w:r w:rsidR="00C16C72">
        <w:rPr>
          <w:b/>
        </w:rPr>
        <w:t xml:space="preserve"> alatti lakóházak/</w:t>
      </w:r>
      <w:r w:rsidR="00C16C72" w:rsidRPr="00FD6438">
        <w:rPr>
          <w:b/>
        </w:rPr>
        <w:t>lakások</w:t>
      </w:r>
      <w:r w:rsidR="00C16C72">
        <w:rPr>
          <w:b/>
        </w:rPr>
        <w:t xml:space="preserve"> esetében 10 000 Ft/év összegre emelni a kommunális adó összegét.</w:t>
      </w:r>
      <w:r w:rsidR="00C16C72" w:rsidRPr="00C16C72">
        <w:rPr>
          <w:b/>
        </w:rPr>
        <w:t xml:space="preserve"> </w:t>
      </w:r>
      <w:r w:rsidR="00C16C72">
        <w:rPr>
          <w:b/>
        </w:rPr>
        <w:t>Ezt az adómértéket bevezetve legalább</w:t>
      </w:r>
      <w:r w:rsidR="00C16C72" w:rsidRPr="00FD6438">
        <w:rPr>
          <w:b/>
        </w:rPr>
        <w:t xml:space="preserve"> </w:t>
      </w:r>
      <w:r w:rsidR="00C16C72">
        <w:rPr>
          <w:b/>
        </w:rPr>
        <w:t>6</w:t>
      </w:r>
      <w:r w:rsidR="00880461">
        <w:rPr>
          <w:b/>
        </w:rPr>
        <w:t>2</w:t>
      </w:r>
      <w:r w:rsidR="00C16C72" w:rsidRPr="00FD6438">
        <w:rPr>
          <w:b/>
        </w:rPr>
        <w:t xml:space="preserve"> millió forint többletbevétel lenne tervezhető</w:t>
      </w:r>
      <w:r w:rsidR="00C16C72">
        <w:rPr>
          <w:b/>
        </w:rPr>
        <w:t xml:space="preserve"> </w:t>
      </w:r>
      <w:r w:rsidR="00880461">
        <w:rPr>
          <w:b/>
        </w:rPr>
        <w:t>20</w:t>
      </w:r>
      <w:r w:rsidR="00C16C72">
        <w:rPr>
          <w:b/>
        </w:rPr>
        <w:t xml:space="preserve"> millió forint költség mellett, ami reálisan </w:t>
      </w:r>
      <w:r w:rsidR="00880461">
        <w:rPr>
          <w:b/>
        </w:rPr>
        <w:t>42</w:t>
      </w:r>
      <w:r w:rsidR="00C16C72">
        <w:rPr>
          <w:b/>
        </w:rPr>
        <w:t xml:space="preserve"> millió forintos többletet eredményez.    </w:t>
      </w:r>
      <w:proofErr w:type="gramStart"/>
      <w:r w:rsidR="00C16C72">
        <w:rPr>
          <w:i/>
        </w:rPr>
        <w:t>( I.</w:t>
      </w:r>
      <w:proofErr w:type="gramEnd"/>
      <w:r w:rsidR="00C16C72" w:rsidRPr="00886090">
        <w:rPr>
          <w:i/>
        </w:rPr>
        <w:t xml:space="preserve"> javaslat</w:t>
      </w:r>
      <w:r w:rsidR="00C16C72">
        <w:rPr>
          <w:i/>
        </w:rPr>
        <w:t>)</w:t>
      </w:r>
    </w:p>
    <w:p w:rsidR="00F0241E" w:rsidRDefault="00C16C72" w:rsidP="00F0241E">
      <w:pPr>
        <w:spacing w:after="120" w:line="259" w:lineRule="auto"/>
        <w:jc w:val="both"/>
        <w:rPr>
          <w:b/>
        </w:rPr>
      </w:pPr>
      <w:r>
        <w:rPr>
          <w:b/>
        </w:rPr>
        <w:t xml:space="preserve">Amennyiben </w:t>
      </w:r>
      <w:r w:rsidR="00E1702D">
        <w:rPr>
          <w:b/>
        </w:rPr>
        <w:t xml:space="preserve">nem támogatott a fenti javaslat </w:t>
      </w:r>
      <w:r>
        <w:rPr>
          <w:b/>
        </w:rPr>
        <w:t>a</w:t>
      </w:r>
      <w:r w:rsidR="00F0241E" w:rsidRPr="00FD6438">
        <w:rPr>
          <w:b/>
        </w:rPr>
        <w:t xml:space="preserve"> </w:t>
      </w:r>
      <w:r w:rsidR="00F0241E">
        <w:rPr>
          <w:b/>
        </w:rPr>
        <w:t>lakóházak/</w:t>
      </w:r>
      <w:r w:rsidR="00F0241E" w:rsidRPr="00FD6438">
        <w:rPr>
          <w:b/>
        </w:rPr>
        <w:t>lakások adómérté</w:t>
      </w:r>
      <w:r w:rsidR="00F0241E">
        <w:rPr>
          <w:b/>
        </w:rPr>
        <w:t>kének emelésé</w:t>
      </w:r>
      <w:r>
        <w:rPr>
          <w:b/>
        </w:rPr>
        <w:t>re, abban az esetben</w:t>
      </w:r>
      <w:r w:rsidR="00F0241E">
        <w:rPr>
          <w:b/>
        </w:rPr>
        <w:t xml:space="preserve"> </w:t>
      </w:r>
      <w:r w:rsidR="00FF6551">
        <w:rPr>
          <w:b/>
        </w:rPr>
        <w:t xml:space="preserve">egy </w:t>
      </w:r>
      <w:r>
        <w:rPr>
          <w:b/>
        </w:rPr>
        <w:t xml:space="preserve">alacsonyabb, </w:t>
      </w:r>
      <w:r w:rsidR="00F0241E">
        <w:rPr>
          <w:b/>
        </w:rPr>
        <w:t xml:space="preserve">az adózási </w:t>
      </w:r>
      <w:r w:rsidR="00F0241E" w:rsidRPr="00FD6438">
        <w:rPr>
          <w:b/>
        </w:rPr>
        <w:t>törvény</w:t>
      </w:r>
      <w:r w:rsidR="00F0241E">
        <w:rPr>
          <w:b/>
        </w:rPr>
        <w:t xml:space="preserve"> által meghatározott maximumra, azaz</w:t>
      </w:r>
      <w:r w:rsidR="00F0241E" w:rsidRPr="00FD6438">
        <w:rPr>
          <w:b/>
        </w:rPr>
        <w:t xml:space="preserve"> 17</w:t>
      </w:r>
      <w:r w:rsidR="00F0241E">
        <w:rPr>
          <w:b/>
        </w:rPr>
        <w:t> </w:t>
      </w:r>
      <w:r w:rsidR="00F0241E" w:rsidRPr="00FD6438">
        <w:rPr>
          <w:b/>
        </w:rPr>
        <w:t>000</w:t>
      </w:r>
      <w:r w:rsidR="00F0241E">
        <w:rPr>
          <w:b/>
        </w:rPr>
        <w:t xml:space="preserve"> (70 m</w:t>
      </w:r>
      <w:r w:rsidR="00F0241E" w:rsidRPr="0097614B">
        <w:rPr>
          <w:b/>
          <w:vertAlign w:val="superscript"/>
        </w:rPr>
        <w:t>2</w:t>
      </w:r>
      <w:r w:rsidR="00F0241E">
        <w:rPr>
          <w:b/>
        </w:rPr>
        <w:t xml:space="preserve"> feletti) és 8 500</w:t>
      </w:r>
      <w:r w:rsidR="00F0241E" w:rsidRPr="00FD6438">
        <w:rPr>
          <w:b/>
        </w:rPr>
        <w:t xml:space="preserve"> Ft</w:t>
      </w:r>
      <w:r w:rsidR="00F0241E">
        <w:rPr>
          <w:b/>
        </w:rPr>
        <w:t>-ra (70 m</w:t>
      </w:r>
      <w:r w:rsidR="00F0241E" w:rsidRPr="0097614B">
        <w:rPr>
          <w:b/>
          <w:vertAlign w:val="superscript"/>
        </w:rPr>
        <w:t>2</w:t>
      </w:r>
      <w:r w:rsidR="00F0241E">
        <w:rPr>
          <w:b/>
        </w:rPr>
        <w:t xml:space="preserve"> alatti)</w:t>
      </w:r>
      <w:r w:rsidR="00E1702D">
        <w:rPr>
          <w:b/>
        </w:rPr>
        <w:t xml:space="preserve"> </w:t>
      </w:r>
      <w:r>
        <w:rPr>
          <w:b/>
        </w:rPr>
        <w:t>teszek javaslatot az önkormányzat</w:t>
      </w:r>
      <w:r w:rsidR="008267F8">
        <w:rPr>
          <w:b/>
        </w:rPr>
        <w:t>i bevétel</w:t>
      </w:r>
      <w:r>
        <w:rPr>
          <w:b/>
        </w:rPr>
        <w:t xml:space="preserve"> </w:t>
      </w:r>
      <w:r w:rsidR="008267F8">
        <w:rPr>
          <w:b/>
        </w:rPr>
        <w:t>növelése</w:t>
      </w:r>
      <w:r>
        <w:rPr>
          <w:b/>
        </w:rPr>
        <w:t xml:space="preserve"> érdekében.</w:t>
      </w:r>
    </w:p>
    <w:p w:rsidR="00F0241E" w:rsidRDefault="00F0241E" w:rsidP="00F0241E">
      <w:pPr>
        <w:spacing w:after="160" w:line="259" w:lineRule="auto"/>
        <w:jc w:val="both"/>
        <w:rPr>
          <w:b/>
        </w:rPr>
      </w:pPr>
      <w:r>
        <w:rPr>
          <w:b/>
        </w:rPr>
        <w:t>A törvényi maximum bevezetésével 35</w:t>
      </w:r>
      <w:r w:rsidR="00880461">
        <w:rPr>
          <w:b/>
        </w:rPr>
        <w:t>,5</w:t>
      </w:r>
      <w:r>
        <w:rPr>
          <w:b/>
        </w:rPr>
        <w:t xml:space="preserve"> millió forint többlet </w:t>
      </w:r>
      <w:r w:rsidR="00E1702D">
        <w:rPr>
          <w:b/>
        </w:rPr>
        <w:t>volna</w:t>
      </w:r>
      <w:r>
        <w:rPr>
          <w:b/>
        </w:rPr>
        <w:t xml:space="preserve"> tervezhető a közel </w:t>
      </w:r>
      <w:r w:rsidR="00880461">
        <w:rPr>
          <w:b/>
        </w:rPr>
        <w:t>20</w:t>
      </w:r>
      <w:r>
        <w:rPr>
          <w:b/>
        </w:rPr>
        <w:t xml:space="preserve"> millió forint költség mellett, így ez az önkormányzatnak ténylegesen 1</w:t>
      </w:r>
      <w:r w:rsidR="00880461">
        <w:rPr>
          <w:b/>
        </w:rPr>
        <w:t>5,5</w:t>
      </w:r>
      <w:r>
        <w:rPr>
          <w:b/>
        </w:rPr>
        <w:t xml:space="preserve"> millió forint bevétel növekedést jelent.      </w:t>
      </w:r>
      <w:r>
        <w:rPr>
          <w:i/>
        </w:rPr>
        <w:t>(</w:t>
      </w:r>
      <w:r w:rsidR="00C16C72">
        <w:rPr>
          <w:i/>
        </w:rPr>
        <w:t>I</w:t>
      </w:r>
      <w:r w:rsidR="00FB6C5D">
        <w:rPr>
          <w:i/>
        </w:rPr>
        <w:t>I.</w:t>
      </w:r>
      <w:r w:rsidRPr="00886090">
        <w:rPr>
          <w:i/>
        </w:rPr>
        <w:t xml:space="preserve"> javaslat</w:t>
      </w:r>
      <w:r>
        <w:rPr>
          <w:i/>
        </w:rPr>
        <w:t>)</w:t>
      </w:r>
    </w:p>
    <w:p w:rsidR="00F0241E" w:rsidRPr="00142551" w:rsidRDefault="00F0241E" w:rsidP="00F0241E">
      <w:pPr>
        <w:spacing w:after="160" w:line="259" w:lineRule="auto"/>
        <w:jc w:val="both"/>
        <w:rPr>
          <w:i/>
        </w:rPr>
      </w:pPr>
      <w:r>
        <w:t>A</w:t>
      </w:r>
      <w:r w:rsidRPr="00142551">
        <w:t xml:space="preserve"> magánszemélyek kommunális adójáról szóló önkormányzati rendeletünk adótárgy</w:t>
      </w:r>
      <w:r>
        <w:t>an</w:t>
      </w:r>
      <w:r w:rsidRPr="00142551">
        <w:t xml:space="preserve">ként a lakások mellett meghatározza </w:t>
      </w:r>
      <w:r w:rsidRPr="00142551">
        <w:rPr>
          <w:b/>
        </w:rPr>
        <w:t>a beépítetlen terület (telek) mértékét, amely jelenleg 3 900 Ft/év</w:t>
      </w:r>
      <w:r w:rsidRPr="00142551">
        <w:t xml:space="preserve">, annak nagyságától függetlenül. Ezen </w:t>
      </w:r>
      <w:r w:rsidR="00E1702D">
        <w:t>adómértéket</w:t>
      </w:r>
      <w:r w:rsidRPr="00142551">
        <w:t xml:space="preserve"> </w:t>
      </w:r>
      <w:r>
        <w:t xml:space="preserve">is javaslom </w:t>
      </w:r>
      <w:r w:rsidRPr="00482702">
        <w:rPr>
          <w:b/>
        </w:rPr>
        <w:t>8 000 Ft/év összegre</w:t>
      </w:r>
      <w:r>
        <w:t xml:space="preserve"> </w:t>
      </w:r>
      <w:r w:rsidRPr="00E14028">
        <w:rPr>
          <w:b/>
        </w:rPr>
        <w:t>emelni a fenti javaslato</w:t>
      </w:r>
      <w:r>
        <w:rPr>
          <w:b/>
        </w:rPr>
        <w:t>k valamelyikével</w:t>
      </w:r>
      <w:r w:rsidRPr="00E14028">
        <w:rPr>
          <w:b/>
        </w:rPr>
        <w:t xml:space="preserve"> együtt elfogadva,</w:t>
      </w:r>
      <w:r w:rsidRPr="00142551">
        <w:rPr>
          <w:b/>
        </w:rPr>
        <w:t xml:space="preserve"> amely </w:t>
      </w:r>
      <w:r>
        <w:rPr>
          <w:b/>
        </w:rPr>
        <w:t xml:space="preserve">külön </w:t>
      </w:r>
      <w:r w:rsidRPr="00142551">
        <w:rPr>
          <w:b/>
        </w:rPr>
        <w:t>1,</w:t>
      </w:r>
      <w:r>
        <w:rPr>
          <w:b/>
        </w:rPr>
        <w:t>8</w:t>
      </w:r>
      <w:r w:rsidRPr="00142551">
        <w:rPr>
          <w:b/>
        </w:rPr>
        <w:t xml:space="preserve"> millió forint adóbevétel többletet jelent</w:t>
      </w:r>
      <w:r>
        <w:rPr>
          <w:b/>
        </w:rPr>
        <w:t xml:space="preserve"> 3</w:t>
      </w:r>
      <w:r w:rsidR="00880461">
        <w:rPr>
          <w:b/>
        </w:rPr>
        <w:t>6</w:t>
      </w:r>
      <w:r>
        <w:rPr>
          <w:b/>
        </w:rPr>
        <w:t>0 000 Ft</w:t>
      </w:r>
      <w:r w:rsidRPr="00142551">
        <w:rPr>
          <w:b/>
        </w:rPr>
        <w:t xml:space="preserve"> költség mellett</w:t>
      </w:r>
      <w:r w:rsidRPr="00142551">
        <w:t>.</w:t>
      </w:r>
      <w:r>
        <w:t xml:space="preserve"> </w:t>
      </w:r>
      <w:r w:rsidRPr="004108D2">
        <w:rPr>
          <w:b/>
        </w:rPr>
        <w:t>Ténylegesen a</w:t>
      </w:r>
      <w:r>
        <w:rPr>
          <w:b/>
        </w:rPr>
        <w:t xml:space="preserve"> beépítetlen telek</w:t>
      </w:r>
      <w:r>
        <w:t xml:space="preserve"> </w:t>
      </w:r>
      <w:r w:rsidRPr="004108D2">
        <w:rPr>
          <w:b/>
        </w:rPr>
        <w:t>adómérték</w:t>
      </w:r>
      <w:r w:rsidR="0040223E">
        <w:rPr>
          <w:b/>
        </w:rPr>
        <w:t>ének megemelése körülbelül</w:t>
      </w:r>
      <w:r w:rsidRPr="004108D2">
        <w:rPr>
          <w:b/>
        </w:rPr>
        <w:t xml:space="preserve"> 1 </w:t>
      </w:r>
      <w:r w:rsidR="00880461">
        <w:rPr>
          <w:b/>
        </w:rPr>
        <w:t>472</w:t>
      </w:r>
      <w:r w:rsidRPr="004108D2">
        <w:rPr>
          <w:b/>
        </w:rPr>
        <w:t> 000 Ft többletbevételt eredményez.</w:t>
      </w:r>
      <w:r>
        <w:t xml:space="preserve">     </w:t>
      </w:r>
    </w:p>
    <w:p w:rsidR="00F0241E" w:rsidRPr="00482702" w:rsidRDefault="00F0241E" w:rsidP="00F0241E">
      <w:pPr>
        <w:spacing w:after="160" w:line="259" w:lineRule="auto"/>
        <w:jc w:val="both"/>
      </w:pPr>
      <w:r w:rsidRPr="00482702">
        <w:t xml:space="preserve">Az előterjesztett koncepciók valamelyikének elfogadásával, tekintettel az építményadó mértékének a javasolt összegre történő emelésével </w:t>
      </w:r>
      <w:r>
        <w:t xml:space="preserve">2026. évben </w:t>
      </w:r>
      <w:r w:rsidRPr="00482702">
        <w:rPr>
          <w:b/>
        </w:rPr>
        <w:t xml:space="preserve">összesen min. </w:t>
      </w:r>
      <w:r w:rsidR="000D6FD8">
        <w:rPr>
          <w:b/>
        </w:rPr>
        <w:t>102</w:t>
      </w:r>
      <w:r w:rsidRPr="00482702">
        <w:rPr>
          <w:b/>
        </w:rPr>
        <w:t xml:space="preserve"> millió, de </w:t>
      </w:r>
      <w:proofErr w:type="spellStart"/>
      <w:r w:rsidRPr="00482702">
        <w:rPr>
          <w:b/>
        </w:rPr>
        <w:t>max</w:t>
      </w:r>
      <w:proofErr w:type="spellEnd"/>
      <w:r w:rsidRPr="00482702">
        <w:rPr>
          <w:b/>
        </w:rPr>
        <w:t xml:space="preserve">. </w:t>
      </w:r>
      <w:r w:rsidR="000D6FD8">
        <w:rPr>
          <w:b/>
        </w:rPr>
        <w:t>128</w:t>
      </w:r>
      <w:r w:rsidRPr="00482702">
        <w:rPr>
          <w:b/>
        </w:rPr>
        <w:t xml:space="preserve"> millió forint </w:t>
      </w:r>
      <w:r w:rsidR="000D6FD8">
        <w:rPr>
          <w:b/>
        </w:rPr>
        <w:t xml:space="preserve">„nettó” </w:t>
      </w:r>
      <w:r w:rsidRPr="00482702">
        <w:rPr>
          <w:b/>
        </w:rPr>
        <w:t>adóbevétel többlet lenne tervezehető cca. 20-21 millió forint költség mellett.</w:t>
      </w:r>
      <w:r w:rsidRPr="00482702">
        <w:t xml:space="preserve"> </w:t>
      </w:r>
    </w:p>
    <w:p w:rsidR="00DE042A" w:rsidRDefault="00DE042A" w:rsidP="00DE042A">
      <w:pPr>
        <w:pStyle w:val="Listaszerbekezds"/>
        <w:spacing w:after="160" w:line="259" w:lineRule="auto"/>
        <w:ind w:left="0"/>
        <w:jc w:val="both"/>
        <w:rPr>
          <w:b/>
        </w:rPr>
      </w:pPr>
    </w:p>
    <w:p w:rsidR="00DE042A" w:rsidRPr="00DE042A" w:rsidRDefault="00DE042A" w:rsidP="00DE042A">
      <w:pPr>
        <w:pStyle w:val="Listaszerbekezds"/>
        <w:spacing w:after="160" w:line="259" w:lineRule="auto"/>
        <w:ind w:left="0"/>
        <w:jc w:val="center"/>
        <w:rPr>
          <w:b/>
        </w:rPr>
      </w:pPr>
      <w:r w:rsidRPr="00DE042A">
        <w:rPr>
          <w:b/>
        </w:rPr>
        <w:t>III.</w:t>
      </w:r>
    </w:p>
    <w:p w:rsidR="008267F8" w:rsidRDefault="00DE042A" w:rsidP="00DE042A">
      <w:pPr>
        <w:pStyle w:val="Listaszerbekezds"/>
        <w:spacing w:after="160" w:line="259" w:lineRule="auto"/>
        <w:ind w:left="0"/>
        <w:jc w:val="both"/>
      </w:pPr>
      <w:r w:rsidRPr="00844061">
        <w:rPr>
          <w:b/>
        </w:rPr>
        <w:t>Az iparűzési adó</w:t>
      </w:r>
      <w:r w:rsidRPr="00844061">
        <w:t xml:space="preserve"> adónemben a </w:t>
      </w:r>
      <w:proofErr w:type="spellStart"/>
      <w:r w:rsidRPr="00844061">
        <w:t>Htv</w:t>
      </w:r>
      <w:proofErr w:type="spellEnd"/>
      <w:r w:rsidRPr="00844061">
        <w:t xml:space="preserve">. 40. § (1) bekezdés c) pontja alapján meghatározott és jelenleg hatályos </w:t>
      </w:r>
      <w:r w:rsidRPr="00844061">
        <w:rPr>
          <w:b/>
        </w:rPr>
        <w:t xml:space="preserve">2 %-os mértékén </w:t>
      </w:r>
      <w:r w:rsidR="008267F8">
        <w:rPr>
          <w:b/>
        </w:rPr>
        <w:t>emelni</w:t>
      </w:r>
      <w:r w:rsidRPr="00844061">
        <w:rPr>
          <w:b/>
        </w:rPr>
        <w:t xml:space="preserve"> nincs lehetőség</w:t>
      </w:r>
      <w:r w:rsidR="008267F8">
        <w:rPr>
          <w:b/>
        </w:rPr>
        <w:t>,</w:t>
      </w:r>
      <w:r w:rsidR="008267F8">
        <w:t xml:space="preserve"> </w:t>
      </w:r>
      <w:r w:rsidRPr="00844061">
        <w:t>csökkentése pedig nem javasolt.</w:t>
      </w:r>
      <w:r w:rsidR="008267F8">
        <w:t xml:space="preserve"> </w:t>
      </w:r>
    </w:p>
    <w:p w:rsidR="008267F8" w:rsidRDefault="008267F8" w:rsidP="00DE042A">
      <w:pPr>
        <w:pStyle w:val="Listaszerbekezds"/>
        <w:spacing w:after="160" w:line="259" w:lineRule="auto"/>
        <w:ind w:left="0"/>
        <w:jc w:val="both"/>
      </w:pPr>
    </w:p>
    <w:p w:rsidR="00DE042A" w:rsidRPr="008267F8" w:rsidRDefault="008267F8" w:rsidP="00DE042A">
      <w:pPr>
        <w:pStyle w:val="Listaszerbekezds"/>
        <w:spacing w:after="160" w:line="259" w:lineRule="auto"/>
        <w:ind w:left="0"/>
        <w:jc w:val="both"/>
        <w:rPr>
          <w:b/>
        </w:rPr>
      </w:pPr>
      <w:r>
        <w:t xml:space="preserve">Az </w:t>
      </w:r>
      <w:r>
        <w:rPr>
          <w:b/>
        </w:rPr>
        <w:t xml:space="preserve">650 Ft/éj/fő </w:t>
      </w:r>
      <w:r w:rsidRPr="008267F8">
        <w:rPr>
          <w:b/>
        </w:rPr>
        <w:t>idegenforgalmi adó</w:t>
      </w:r>
      <w:r>
        <w:rPr>
          <w:b/>
        </w:rPr>
        <w:t xml:space="preserve"> mérték</w:t>
      </w:r>
      <w:r w:rsidRPr="008267F8">
        <w:rPr>
          <w:b/>
        </w:rPr>
        <w:t xml:space="preserve"> tekintetében nem </w:t>
      </w:r>
      <w:proofErr w:type="spellStart"/>
      <w:r w:rsidRPr="008267F8">
        <w:rPr>
          <w:b/>
        </w:rPr>
        <w:t>javas</w:t>
      </w:r>
      <w:r w:rsidR="0040223E">
        <w:rPr>
          <w:b/>
        </w:rPr>
        <w:t>o</w:t>
      </w:r>
      <w:r w:rsidRPr="008267F8">
        <w:rPr>
          <w:b/>
        </w:rPr>
        <w:t>lok</w:t>
      </w:r>
      <w:proofErr w:type="spellEnd"/>
      <w:r w:rsidRPr="008267F8">
        <w:rPr>
          <w:b/>
        </w:rPr>
        <w:t xml:space="preserve"> </w:t>
      </w:r>
      <w:r>
        <w:rPr>
          <w:b/>
        </w:rPr>
        <w:t>mértékváltoztatást</w:t>
      </w:r>
      <w:r w:rsidRPr="008267F8">
        <w:rPr>
          <w:b/>
        </w:rPr>
        <w:t>.</w:t>
      </w:r>
    </w:p>
    <w:p w:rsidR="006B1D8A" w:rsidRDefault="006B1D8A" w:rsidP="00487FB6">
      <w:pPr>
        <w:spacing w:after="160" w:line="259" w:lineRule="auto"/>
        <w:jc w:val="both"/>
      </w:pPr>
    </w:p>
    <w:p w:rsidR="00844061" w:rsidRPr="00844061" w:rsidRDefault="00844061" w:rsidP="00844061">
      <w:pPr>
        <w:spacing w:after="160" w:line="259" w:lineRule="auto"/>
        <w:jc w:val="center"/>
        <w:rPr>
          <w:b/>
        </w:rPr>
      </w:pPr>
      <w:r w:rsidRPr="00844061">
        <w:rPr>
          <w:b/>
        </w:rPr>
        <w:t>I</w:t>
      </w:r>
      <w:r>
        <w:rPr>
          <w:b/>
        </w:rPr>
        <w:t>V</w:t>
      </w:r>
      <w:r w:rsidRPr="00844061">
        <w:rPr>
          <w:b/>
        </w:rPr>
        <w:t>.</w:t>
      </w:r>
    </w:p>
    <w:p w:rsidR="00C14DD8" w:rsidRDefault="00672364" w:rsidP="00487FB6">
      <w:pPr>
        <w:spacing w:after="160" w:line="259" w:lineRule="auto"/>
        <w:jc w:val="both"/>
      </w:pPr>
      <w:r>
        <w:t>Az adókoncepció meghatározása során nem csupán a</w:t>
      </w:r>
      <w:r w:rsidR="00A337FD">
        <w:t>z adónemek</w:t>
      </w:r>
      <w:r>
        <w:t xml:space="preserve"> adómértéke</w:t>
      </w:r>
      <w:r w:rsidR="00A337FD">
        <w:t>inek</w:t>
      </w:r>
      <w:r>
        <w:t xml:space="preserve"> vizsgálata, azok meghatározása szükséges. Fontos vizsgálandó tényezők a vonatkozó törvényben és a helyi rendeletekben definiált adótárgyak, adóalanyok köre a helyi viszonyoknak megfelelően</w:t>
      </w:r>
      <w:r w:rsidR="006B60B4">
        <w:t>, illetve azok változásai</w:t>
      </w:r>
      <w:r>
        <w:t>.</w:t>
      </w:r>
    </w:p>
    <w:p w:rsidR="008267F8" w:rsidRDefault="00A337FD" w:rsidP="00487FB6">
      <w:pPr>
        <w:spacing w:after="160" w:line="259" w:lineRule="auto"/>
        <w:jc w:val="both"/>
      </w:pPr>
      <w:r>
        <w:lastRenderedPageBreak/>
        <w:t>Az elmúlt években jelentős fejlődés mutatkozik a zártkerti</w:t>
      </w:r>
      <w:r w:rsidR="000745EB">
        <w:t xml:space="preserve"> területeken.</w:t>
      </w:r>
      <w:r>
        <w:t xml:space="preserve"> </w:t>
      </w:r>
      <w:r w:rsidR="000745EB">
        <w:t xml:space="preserve">Az itt található ingatlanokon </w:t>
      </w:r>
      <w:r>
        <w:t>lakhatás</w:t>
      </w:r>
      <w:r w:rsidR="008267F8">
        <w:t xml:space="preserve"> és/vagy </w:t>
      </w:r>
      <w:r>
        <w:t xml:space="preserve">üzleti tevékenység céljából épület felújítások, átalakítások és teljesen új építésű épületek jelentek meg. </w:t>
      </w:r>
    </w:p>
    <w:p w:rsidR="00A337FD" w:rsidRDefault="00A337FD" w:rsidP="00487FB6">
      <w:pPr>
        <w:spacing w:after="160" w:line="259" w:lineRule="auto"/>
        <w:jc w:val="both"/>
      </w:pPr>
      <w:r>
        <w:t xml:space="preserve">A jelenlegi ingatlan adózással kapcsolatos rendeleteink az itt meglévő adótárgyak </w:t>
      </w:r>
      <w:r w:rsidR="000745EB">
        <w:t xml:space="preserve">tekintetében </w:t>
      </w:r>
      <w:r>
        <w:t xml:space="preserve">nem rendelkeznek az adókötelezettség fennállásáról. Ezért célszerű </w:t>
      </w:r>
      <w:r w:rsidRPr="006B60B4">
        <w:rPr>
          <w:b/>
        </w:rPr>
        <w:t>a zártkerti ingatlanok vonatkozásában</w:t>
      </w:r>
      <w:r>
        <w:t xml:space="preserve"> </w:t>
      </w:r>
      <w:r w:rsidR="00575160">
        <w:t xml:space="preserve">az adótárgyak megnevezésétől függetlenül </w:t>
      </w:r>
      <w:r w:rsidR="00575160" w:rsidRPr="006B60B4">
        <w:rPr>
          <w:b/>
        </w:rPr>
        <w:t>az adóalanyok körét meghatározni.</w:t>
      </w:r>
      <w:r w:rsidR="00575160">
        <w:t xml:space="preserve"> </w:t>
      </w:r>
      <w:r w:rsidR="00FF759D">
        <w:t>Így azon</w:t>
      </w:r>
      <w:r w:rsidR="00575160">
        <w:t xml:space="preserve"> ingatlan tulajdonosok, akik </w:t>
      </w:r>
      <w:r w:rsidR="00575160" w:rsidRPr="006B60B4">
        <w:rPr>
          <w:b/>
        </w:rPr>
        <w:t>életvitelszerűen, lakhatás céljából tartózkodnak a zártkerti építményben, magánszemélyek kommunális adó adóalanyai le</w:t>
      </w:r>
      <w:r w:rsidR="00063470" w:rsidRPr="006B60B4">
        <w:rPr>
          <w:b/>
        </w:rPr>
        <w:t>nnének</w:t>
      </w:r>
      <w:r w:rsidR="00575160" w:rsidRPr="006B60B4">
        <w:rPr>
          <w:b/>
        </w:rPr>
        <w:t>.</w:t>
      </w:r>
      <w:r w:rsidR="00FF759D">
        <w:rPr>
          <w:b/>
        </w:rPr>
        <w:t xml:space="preserve"> </w:t>
      </w:r>
      <w:r w:rsidR="0040223E">
        <w:rPr>
          <w:b/>
        </w:rPr>
        <w:t>Ez, a</w:t>
      </w:r>
      <w:r w:rsidR="00FF759D">
        <w:rPr>
          <w:b/>
        </w:rPr>
        <w:t xml:space="preserve"> lakhatási céllal kialakított épületben, az életvitelszerű ott tartózkodásra berendezkedett tulajdonos jövedelem szerzési képességét feltételezi, ezáltal a helyi adó viselését is.</w:t>
      </w:r>
    </w:p>
    <w:p w:rsidR="009F271A" w:rsidRDefault="005E748B" w:rsidP="00487FB6">
      <w:pPr>
        <w:spacing w:after="160" w:line="259" w:lineRule="auto"/>
        <w:jc w:val="both"/>
      </w:pPr>
      <w:r>
        <w:t xml:space="preserve">Az építményadó adónemben egy </w:t>
      </w:r>
      <w:r w:rsidRPr="006B60B4">
        <w:rPr>
          <w:b/>
        </w:rPr>
        <w:t>magánszemély tulajdonában lévő bel- vagy külterületi pihenés céljára berendezett építmény (üdülő) jelenlegi szabályozás szerinti adómentessége ellentétes az adómegállapítás azon jogával</w:t>
      </w:r>
      <w:r>
        <w:t>, amely figyelembe veszi az adózó teherviselő képességét, hiszen egy lakóhelytől független másik épület tulajdonjoga egy bizonyos jólétet feltételez</w:t>
      </w:r>
      <w:r w:rsidR="00063470">
        <w:t xml:space="preserve"> az építmény üzleti, vagy vállalkozási célú hasznosításától függetlenül</w:t>
      </w:r>
      <w:r w:rsidR="006B60B4">
        <w:t>, valamint csak megnevezés</w:t>
      </w:r>
      <w:r w:rsidR="0012530B">
        <w:t>é</w:t>
      </w:r>
      <w:r w:rsidR="006B60B4">
        <w:t>ben különbözik más építménytől.</w:t>
      </w:r>
      <w:r>
        <w:t xml:space="preserve"> Ezért indokolatlan </w:t>
      </w:r>
      <w:r w:rsidR="00063470">
        <w:t>ezen adótárgy</w:t>
      </w:r>
      <w:r>
        <w:t xml:space="preserve"> adómentesség megállapítás</w:t>
      </w:r>
      <w:r w:rsidR="00063470">
        <w:t>ának lehetőség</w:t>
      </w:r>
      <w:r w:rsidR="00844061">
        <w:t xml:space="preserve">e és így, mint vagyoni típusú adó az építményadó hatálya alá tartozna. </w:t>
      </w:r>
    </w:p>
    <w:p w:rsidR="00063470" w:rsidRDefault="00EE24DE" w:rsidP="00487FB6">
      <w:pPr>
        <w:spacing w:after="160" w:line="259" w:lineRule="auto"/>
        <w:jc w:val="both"/>
      </w:pPr>
      <w:r>
        <w:t xml:space="preserve">A fenti rendelet módosítások nem jelentenek </w:t>
      </w:r>
      <w:proofErr w:type="gramStart"/>
      <w:r>
        <w:t>közvetlen,</w:t>
      </w:r>
      <w:proofErr w:type="gramEnd"/>
      <w:r>
        <w:t xml:space="preserve"> vagy jelentős adóbevétel növekedést, azonban a későbbi adókoncepciók meghatározása során már lehetőséget adhatnak célzott bevétel emelésre, esetleges kedvezmény bevezetésre. </w:t>
      </w:r>
    </w:p>
    <w:p w:rsidR="009F271A" w:rsidRDefault="009F271A" w:rsidP="00487FB6">
      <w:pPr>
        <w:spacing w:after="160" w:line="259" w:lineRule="auto"/>
        <w:jc w:val="both"/>
      </w:pPr>
    </w:p>
    <w:p w:rsidR="0099795F" w:rsidRDefault="0099795F" w:rsidP="00487FB6">
      <w:pPr>
        <w:spacing w:after="160" w:line="259" w:lineRule="auto"/>
        <w:jc w:val="both"/>
      </w:pPr>
      <w:r>
        <w:t>Kérem a tisztelet Képviselő-testület</w:t>
      </w:r>
      <w:r w:rsidR="0012530B">
        <w:t>et</w:t>
      </w:r>
      <w:r>
        <w:t>, hogy a fentebb megfogalmazott jövő évi adó</w:t>
      </w:r>
      <w:r w:rsidR="006B60B4">
        <w:t>koncepcióval</w:t>
      </w:r>
      <w:r>
        <w:t xml:space="preserve"> kapcsolatban foglaljanak állást, vagy tegyenek egyéb javaslatot, amely egy későbbi rendeletmódosítás során figyelembe vehető</w:t>
      </w:r>
      <w:r w:rsidR="0012530B">
        <w:t>.</w:t>
      </w:r>
    </w:p>
    <w:p w:rsidR="007C66B6" w:rsidRDefault="00DE3E0B" w:rsidP="00487FB6">
      <w:pPr>
        <w:spacing w:after="160" w:line="259" w:lineRule="auto"/>
        <w:jc w:val="both"/>
      </w:pPr>
      <w:r>
        <w:t>Tájékoztatom a tisztelt Képviselő-testület tagjait, hogy</w:t>
      </w:r>
      <w:r w:rsidR="00AD0F61">
        <w:t xml:space="preserve"> a</w:t>
      </w:r>
      <w:r w:rsidR="00EB04D2">
        <w:t xml:space="preserve"> helyi rendeletek évenkénti felülvizsgálata, esetleges módosítása</w:t>
      </w:r>
      <w:r w:rsidR="007C66B6">
        <w:t xml:space="preserve"> a</w:t>
      </w:r>
      <w:r w:rsidR="00EB04D2">
        <w:t xml:space="preserve"> Magyarország gazdasági stabilitásáról szóló 2011. évi CXVIV. törvény 32.§-a szerint </w:t>
      </w:r>
      <w:r w:rsidR="007C66B6">
        <w:t xml:space="preserve">lehetséges, mely alapján az </w:t>
      </w:r>
      <w:r w:rsidR="00EB04D2">
        <w:t xml:space="preserve">adókötelezettséget megállapító, az adóalanyok körét bővítő, az adó mértékét növelő, illetve kedvezményt, mentességet megszüntető jogszabály kihirdetése és hatályba lépése között legalább 30 napnak el kell telnie. </w:t>
      </w:r>
    </w:p>
    <w:p w:rsidR="004A6D8C" w:rsidRPr="000B135D" w:rsidRDefault="007C66B6" w:rsidP="00487FB6">
      <w:pPr>
        <w:spacing w:after="160" w:line="259" w:lineRule="auto"/>
        <w:jc w:val="both"/>
        <w:rPr>
          <w:b/>
        </w:rPr>
      </w:pPr>
      <w:r>
        <w:t>Ez azt jelenti, hogy adórendelet legkorábban a kihirdetést követő 30. napon léptethető hatályba.</w:t>
      </w:r>
      <w:r w:rsidR="004A6D8C">
        <w:t xml:space="preserve"> Így </w:t>
      </w:r>
      <w:r w:rsidR="004A6D8C" w:rsidRPr="000B135D">
        <w:rPr>
          <w:b/>
        </w:rPr>
        <w:t>az esetleges módosításoka</w:t>
      </w:r>
      <w:r w:rsidR="0012530B">
        <w:rPr>
          <w:b/>
        </w:rPr>
        <w:t>t</w:t>
      </w:r>
      <w:r w:rsidR="004A6D8C" w:rsidRPr="000B135D">
        <w:rPr>
          <w:b/>
        </w:rPr>
        <w:t xml:space="preserve"> tartalmazó</w:t>
      </w:r>
      <w:r w:rsidR="0012530B">
        <w:rPr>
          <w:b/>
        </w:rPr>
        <w:t>,</w:t>
      </w:r>
      <w:r w:rsidR="004A6D8C" w:rsidRPr="000B135D">
        <w:rPr>
          <w:b/>
        </w:rPr>
        <w:t xml:space="preserve"> január 01-én hatályba lépő rendeletről legkésőbb november 30. napjáig szükséges a Képviselő-testületnek dönteni.</w:t>
      </w:r>
    </w:p>
    <w:p w:rsidR="00487FB6" w:rsidRPr="0022605D" w:rsidRDefault="00487FB6" w:rsidP="00487FB6">
      <w:pPr>
        <w:pStyle w:val="Szvegtrzs"/>
        <w:jc w:val="both"/>
      </w:pPr>
      <w:r w:rsidRPr="0022605D">
        <w:t>Az előterjesztést a</w:t>
      </w:r>
      <w:r>
        <w:t xml:space="preserve"> </w:t>
      </w:r>
      <w:r w:rsidRPr="0022605D">
        <w:rPr>
          <w:b/>
        </w:rPr>
        <w:t>Gazdasági Bizottság, a</w:t>
      </w:r>
      <w:r>
        <w:rPr>
          <w:b/>
        </w:rPr>
        <w:t xml:space="preserve"> </w:t>
      </w:r>
      <w:r w:rsidRPr="0022605D">
        <w:rPr>
          <w:b/>
        </w:rPr>
        <w:t>Jogi, Ügyrendi és Közbiztonsági Bizottság</w:t>
      </w:r>
      <w:r w:rsidRPr="0022605D">
        <w:t xml:space="preserve">, valamint a </w:t>
      </w:r>
      <w:r w:rsidRPr="0022605D">
        <w:rPr>
          <w:b/>
        </w:rPr>
        <w:t>Pénzügyi Ellenőrző Bizottság</w:t>
      </w:r>
      <w:r w:rsidRPr="0022605D">
        <w:t xml:space="preserve"> tárgyalja.</w:t>
      </w:r>
      <w:r>
        <w:t xml:space="preserve"> </w:t>
      </w:r>
      <w:r w:rsidRPr="0022605D">
        <w:t>A Bizottság</w:t>
      </w:r>
      <w:bookmarkStart w:id="1" w:name="_GoBack"/>
      <w:bookmarkEnd w:id="1"/>
      <w:r w:rsidRPr="0022605D">
        <w:t>ok véleménye a Képviselő-testület ülésén helyben kerül kiosztásra jegyzőkönyvi kivonat formájában.</w:t>
      </w:r>
    </w:p>
    <w:p w:rsidR="008267F8" w:rsidRPr="004D367B" w:rsidRDefault="008267F8" w:rsidP="008267F8">
      <w:pPr>
        <w:widowControl w:val="0"/>
        <w:tabs>
          <w:tab w:val="left" w:pos="851"/>
        </w:tabs>
        <w:spacing w:before="240"/>
        <w:ind w:right="-1"/>
        <w:jc w:val="both"/>
      </w:pPr>
      <w:r w:rsidRPr="004D367B">
        <w:t>A döntéshozatal</w:t>
      </w:r>
      <w:r w:rsidRPr="00691B5A">
        <w:rPr>
          <w:i/>
        </w:rPr>
        <w:t xml:space="preserve"> Magyarország helyi önkormányzatairól szóló 2011. évi CLXXXIX. törvény (</w:t>
      </w:r>
      <w:proofErr w:type="spellStart"/>
      <w:r w:rsidRPr="00691B5A">
        <w:rPr>
          <w:i/>
        </w:rPr>
        <w:t>Mötv</w:t>
      </w:r>
      <w:proofErr w:type="spellEnd"/>
      <w:r w:rsidRPr="00691B5A">
        <w:rPr>
          <w:i/>
        </w:rPr>
        <w:t xml:space="preserve">.) </w:t>
      </w:r>
      <w:r w:rsidRPr="004D367B">
        <w:t xml:space="preserve">46. § (1) bekezdése alapján, a (2) bekezdésben foglaltakra figyelemmel </w:t>
      </w:r>
      <w:r w:rsidRPr="004D367B">
        <w:rPr>
          <w:b/>
        </w:rPr>
        <w:t>nyilvános</w:t>
      </w:r>
      <w:r w:rsidRPr="004D367B">
        <w:t xml:space="preserve"> ülés keretében, az 50. § rendelkezései alapján - figyelemmel a KT. </w:t>
      </w:r>
      <w:proofErr w:type="spellStart"/>
      <w:r w:rsidRPr="004D367B">
        <w:t>SzMSz</w:t>
      </w:r>
      <w:proofErr w:type="spellEnd"/>
      <w:r w:rsidRPr="004D367B">
        <w:t xml:space="preserve"> 59. §</w:t>
      </w:r>
      <w:r>
        <w:t xml:space="preserve"> 3. pontjára</w:t>
      </w:r>
      <w:r w:rsidRPr="004D367B">
        <w:t xml:space="preserve"> - </w:t>
      </w:r>
      <w:r w:rsidRPr="004D367B">
        <w:rPr>
          <w:b/>
        </w:rPr>
        <w:t xml:space="preserve">minősített </w:t>
      </w:r>
      <w:r w:rsidRPr="004D367B">
        <w:t>szavazati arányt igényel.</w:t>
      </w:r>
    </w:p>
    <w:p w:rsidR="004A6D8C" w:rsidRDefault="004A6D8C" w:rsidP="0011744D">
      <w:pPr>
        <w:spacing w:after="160" w:line="259" w:lineRule="auto"/>
        <w:ind w:left="360"/>
        <w:jc w:val="both"/>
      </w:pPr>
    </w:p>
    <w:p w:rsidR="00487FB6" w:rsidRDefault="004A6D8C" w:rsidP="00FB6C5D">
      <w:pPr>
        <w:spacing w:after="160" w:line="259" w:lineRule="auto"/>
        <w:ind w:left="3828" w:hanging="3828"/>
        <w:jc w:val="both"/>
      </w:pPr>
      <w:r>
        <w:t>Cegléd, 2025.</w:t>
      </w:r>
      <w:r w:rsidR="00DE042A">
        <w:t>október</w:t>
      </w:r>
      <w:r w:rsidR="00C40D7F">
        <w:t xml:space="preserve"> </w:t>
      </w:r>
      <w:r w:rsidR="00DE042A">
        <w:t>06</w:t>
      </w:r>
      <w:r>
        <w:t>.</w:t>
      </w:r>
    </w:p>
    <w:p w:rsidR="00487FB6" w:rsidRPr="00100E09" w:rsidRDefault="00FB6C5D" w:rsidP="00FB6C5D">
      <w:pPr>
        <w:widowControl w:val="0"/>
        <w:ind w:left="4536" w:firstLine="420"/>
        <w:jc w:val="center"/>
      </w:pPr>
      <w:r>
        <w:t xml:space="preserve"> </w:t>
      </w:r>
      <w:r w:rsidR="00487FB6" w:rsidRPr="00100E09">
        <w:t>Dr. Diósgyőri Gitta</w:t>
      </w:r>
    </w:p>
    <w:p w:rsidR="00487FB6" w:rsidRDefault="00487FB6" w:rsidP="00FB6C5D">
      <w:pPr>
        <w:widowControl w:val="0"/>
        <w:ind w:left="4536" w:firstLine="420"/>
        <w:jc w:val="center"/>
        <w:rPr>
          <w:rFonts w:ascii="Times New Roman félkövér" w:hAnsi="Times New Roman félkövér"/>
          <w:b/>
          <w:caps/>
        </w:rPr>
      </w:pPr>
      <w:r w:rsidRPr="00100E09">
        <w:t>címzetes főjegyző</w:t>
      </w:r>
    </w:p>
    <w:p w:rsidR="00487FB6" w:rsidRDefault="00487FB6" w:rsidP="00EE24DE">
      <w:pPr>
        <w:widowControl w:val="0"/>
        <w:jc w:val="center"/>
        <w:rPr>
          <w:rFonts w:ascii="Times New Roman félkövér" w:hAnsi="Times New Roman félkövér"/>
          <w:b/>
          <w:caps/>
        </w:rPr>
      </w:pPr>
      <w:r>
        <w:rPr>
          <w:rFonts w:ascii="Times New Roman félkövér" w:hAnsi="Times New Roman félkövér"/>
          <w:b/>
          <w:caps/>
        </w:rPr>
        <w:t>---------</w:t>
      </w:r>
    </w:p>
    <w:p w:rsidR="00706F42" w:rsidRDefault="00706F42" w:rsidP="009B470E">
      <w:pPr>
        <w:tabs>
          <w:tab w:val="left" w:pos="3930"/>
        </w:tabs>
        <w:jc w:val="both"/>
      </w:pPr>
    </w:p>
    <w:p w:rsidR="001838B8" w:rsidRPr="009C4D0D" w:rsidRDefault="001838B8" w:rsidP="001838B8">
      <w:pPr>
        <w:widowControl w:val="0"/>
        <w:spacing w:before="120"/>
        <w:jc w:val="center"/>
        <w:rPr>
          <w:rFonts w:ascii="Times New Roman félkövér" w:hAnsi="Times New Roman félkövér"/>
          <w:b/>
        </w:rPr>
      </w:pPr>
      <w:r>
        <w:rPr>
          <w:rFonts w:ascii="Times New Roman félkövér" w:hAnsi="Times New Roman félkövér"/>
          <w:b/>
          <w:caps/>
        </w:rPr>
        <w:lastRenderedPageBreak/>
        <w:t xml:space="preserve">„A” </w:t>
      </w:r>
      <w:r w:rsidRPr="009C4D0D">
        <w:rPr>
          <w:rFonts w:ascii="Times New Roman félkövér" w:hAnsi="Times New Roman félkövér"/>
          <w:b/>
        </w:rPr>
        <w:t>Határozati javaslat</w:t>
      </w:r>
    </w:p>
    <w:p w:rsidR="001838B8" w:rsidRDefault="001838B8" w:rsidP="001838B8">
      <w:pPr>
        <w:pStyle w:val="Szvegtrzs"/>
        <w:spacing w:before="240"/>
        <w:jc w:val="both"/>
        <w:rPr>
          <w:b/>
          <w:sz w:val="23"/>
          <w:szCs w:val="23"/>
        </w:rPr>
      </w:pPr>
      <w:r w:rsidRPr="009C4D0D">
        <w:rPr>
          <w:b/>
          <w:sz w:val="23"/>
          <w:szCs w:val="23"/>
        </w:rPr>
        <w:t>Cegléd Város Önkorm</w:t>
      </w:r>
      <w:r>
        <w:rPr>
          <w:b/>
          <w:sz w:val="23"/>
          <w:szCs w:val="23"/>
        </w:rPr>
        <w:t>ányzatának Képviselő-testülete</w:t>
      </w:r>
    </w:p>
    <w:p w:rsidR="001838B8" w:rsidRDefault="001838B8" w:rsidP="001838B8">
      <w:pPr>
        <w:pStyle w:val="Szvegtrzs"/>
        <w:numPr>
          <w:ilvl w:val="0"/>
          <w:numId w:val="6"/>
        </w:numPr>
        <w:spacing w:before="24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Elfogadja a 2026. évi adókoncepció meghatározása során:</w:t>
      </w:r>
    </w:p>
    <w:p w:rsidR="001838B8" w:rsidRDefault="001838B8" w:rsidP="001838B8">
      <w:pPr>
        <w:pStyle w:val="Szvegtrzs"/>
        <w:spacing w:before="120"/>
        <w:ind w:left="7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1.1. az építményadó mértékének 950 Ft/m</w:t>
      </w:r>
      <w:r w:rsidRPr="007877AB">
        <w:rPr>
          <w:b/>
          <w:sz w:val="23"/>
          <w:szCs w:val="23"/>
          <w:vertAlign w:val="superscript"/>
        </w:rPr>
        <w:t>2</w:t>
      </w:r>
      <w:r>
        <w:rPr>
          <w:b/>
          <w:sz w:val="23"/>
          <w:szCs w:val="23"/>
        </w:rPr>
        <w:t>/év,</w:t>
      </w:r>
    </w:p>
    <w:p w:rsidR="001838B8" w:rsidRDefault="001838B8" w:rsidP="001838B8">
      <w:pPr>
        <w:pStyle w:val="Szvegtrzs"/>
        <w:spacing w:after="0"/>
        <w:ind w:left="7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1.2. a magánszemélyek kommunális adójának </w:t>
      </w:r>
    </w:p>
    <w:p w:rsidR="001838B8" w:rsidRPr="00480DE4" w:rsidRDefault="001838B8" w:rsidP="001838B8">
      <w:pPr>
        <w:pStyle w:val="Szvegtrzs"/>
        <w:spacing w:after="0"/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1.2.1. a </w:t>
      </w:r>
      <w:r w:rsidRPr="00480DE4">
        <w:rPr>
          <w:sz w:val="23"/>
          <w:szCs w:val="23"/>
        </w:rPr>
        <w:t xml:space="preserve">70 m²-ig terjedő hasznos alapterületű lakás után </w:t>
      </w:r>
      <w:r w:rsidRPr="00FB6C5D">
        <w:rPr>
          <w:b/>
          <w:sz w:val="23"/>
          <w:szCs w:val="23"/>
        </w:rPr>
        <w:t>10.000 Ft/év</w:t>
      </w:r>
      <w:r w:rsidRPr="00480DE4">
        <w:rPr>
          <w:sz w:val="23"/>
          <w:szCs w:val="23"/>
        </w:rPr>
        <w:t>,</w:t>
      </w:r>
    </w:p>
    <w:p w:rsidR="001838B8" w:rsidRPr="00480DE4" w:rsidRDefault="001838B8" w:rsidP="001838B8">
      <w:pPr>
        <w:pStyle w:val="Szvegtrzs"/>
        <w:spacing w:after="0"/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1.2.2. a </w:t>
      </w:r>
      <w:r w:rsidRPr="00480DE4">
        <w:rPr>
          <w:sz w:val="23"/>
          <w:szCs w:val="23"/>
        </w:rPr>
        <w:t xml:space="preserve">70 m² feletti hasznos alapterületű lakás után </w:t>
      </w:r>
      <w:r w:rsidRPr="00FB6C5D">
        <w:rPr>
          <w:b/>
          <w:sz w:val="23"/>
          <w:szCs w:val="23"/>
        </w:rPr>
        <w:t>20.000Ft/év</w:t>
      </w:r>
      <w:r>
        <w:rPr>
          <w:b/>
          <w:sz w:val="23"/>
          <w:szCs w:val="23"/>
        </w:rPr>
        <w:t>,</w:t>
      </w:r>
    </w:p>
    <w:p w:rsidR="001838B8" w:rsidRDefault="001838B8" w:rsidP="001838B8">
      <w:pPr>
        <w:pStyle w:val="Szvegtrzs"/>
        <w:spacing w:after="0"/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>1.2.3.</w:t>
      </w:r>
      <w:r w:rsidRPr="00480DE4">
        <w:rPr>
          <w:sz w:val="23"/>
          <w:szCs w:val="23"/>
        </w:rPr>
        <w:t xml:space="preserve"> </w:t>
      </w:r>
      <w:r>
        <w:rPr>
          <w:sz w:val="23"/>
          <w:szCs w:val="23"/>
        </w:rPr>
        <w:t>beépítetlen terület/</w:t>
      </w:r>
      <w:r w:rsidRPr="00480DE4">
        <w:rPr>
          <w:sz w:val="23"/>
          <w:szCs w:val="23"/>
        </w:rPr>
        <w:t xml:space="preserve">telek után </w:t>
      </w:r>
      <w:r w:rsidRPr="00FB6C5D">
        <w:rPr>
          <w:b/>
          <w:sz w:val="23"/>
          <w:szCs w:val="23"/>
        </w:rPr>
        <w:t>8.000 Ft/év</w:t>
      </w:r>
      <w:r>
        <w:rPr>
          <w:sz w:val="23"/>
          <w:szCs w:val="23"/>
        </w:rPr>
        <w:t xml:space="preserve"> </w:t>
      </w:r>
    </w:p>
    <w:p w:rsidR="001838B8" w:rsidRDefault="001838B8" w:rsidP="001838B8">
      <w:pPr>
        <w:pStyle w:val="Szvegtrzs"/>
        <w:ind w:left="284" w:firstLine="425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mértékre történő emelését;</w:t>
      </w:r>
    </w:p>
    <w:p w:rsidR="001838B8" w:rsidRDefault="001838B8" w:rsidP="001838B8">
      <w:pPr>
        <w:pStyle w:val="Szvegtrzs"/>
        <w:numPr>
          <w:ilvl w:val="1"/>
          <w:numId w:val="6"/>
        </w:numPr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a helyi iparűzési adó 2 %-os mértékének a hatályban tartását;</w:t>
      </w:r>
    </w:p>
    <w:p w:rsidR="001838B8" w:rsidRDefault="001838B8" w:rsidP="001838B8">
      <w:pPr>
        <w:pStyle w:val="Szvegtrzs"/>
        <w:numPr>
          <w:ilvl w:val="1"/>
          <w:numId w:val="6"/>
        </w:numPr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az idegenforgalmi adó 650 Ft/éj/fő mértékének hatályban tartását;</w:t>
      </w:r>
    </w:p>
    <w:p w:rsidR="001838B8" w:rsidRDefault="001838B8" w:rsidP="001838B8">
      <w:pPr>
        <w:pStyle w:val="Szvegtrzs"/>
        <w:spacing w:before="120"/>
        <w:ind w:left="7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1.5. a zártkerti ingatlanok adókötelezettségének megállapítását;</w:t>
      </w:r>
    </w:p>
    <w:p w:rsidR="001838B8" w:rsidRPr="00FC2EC4" w:rsidRDefault="001838B8" w:rsidP="001838B8">
      <w:pPr>
        <w:pStyle w:val="Szvegtrzs"/>
        <w:spacing w:before="120" w:after="0"/>
        <w:ind w:left="7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1.6. </w:t>
      </w:r>
      <w:r w:rsidRPr="00FC2EC4">
        <w:rPr>
          <w:b/>
          <w:sz w:val="23"/>
          <w:szCs w:val="23"/>
        </w:rPr>
        <w:t xml:space="preserve">az üdülő épületek </w:t>
      </w:r>
      <w:r w:rsidRPr="00FC2EC4">
        <w:rPr>
          <w:b/>
          <w:bCs/>
          <w:sz w:val="23"/>
          <w:szCs w:val="23"/>
        </w:rPr>
        <w:t>Cegléd Város Önkormányzata Képviselő-testületének</w:t>
      </w:r>
      <w:r>
        <w:rPr>
          <w:b/>
          <w:bCs/>
          <w:sz w:val="23"/>
          <w:szCs w:val="23"/>
        </w:rPr>
        <w:t xml:space="preserve"> </w:t>
      </w:r>
      <w:r w:rsidRPr="00620F92">
        <w:rPr>
          <w:b/>
          <w:bCs/>
          <w:i/>
          <w:sz w:val="23"/>
          <w:szCs w:val="23"/>
        </w:rPr>
        <w:t>az építményadóról szóló 28/2010. (XII. 23.) önkormányzati rendele</w:t>
      </w:r>
      <w:r w:rsidRPr="00FC2EC4">
        <w:rPr>
          <w:b/>
          <w:bCs/>
          <w:sz w:val="23"/>
          <w:szCs w:val="23"/>
        </w:rPr>
        <w:t>t</w:t>
      </w:r>
      <w:r>
        <w:rPr>
          <w:b/>
          <w:bCs/>
          <w:sz w:val="23"/>
          <w:szCs w:val="23"/>
        </w:rPr>
        <w:t xml:space="preserve"> 3. § b) és c) pontjában meghatározott</w:t>
      </w:r>
      <w:r w:rsidRPr="00FC2EC4">
        <w:rPr>
          <w:b/>
          <w:bCs/>
          <w:sz w:val="23"/>
          <w:szCs w:val="23"/>
        </w:rPr>
        <w:t xml:space="preserve"> </w:t>
      </w:r>
      <w:r w:rsidRPr="00FC2EC4">
        <w:rPr>
          <w:b/>
          <w:sz w:val="23"/>
          <w:szCs w:val="23"/>
        </w:rPr>
        <w:t xml:space="preserve">mentességének </w:t>
      </w:r>
      <w:r>
        <w:rPr>
          <w:b/>
          <w:sz w:val="23"/>
          <w:szCs w:val="23"/>
        </w:rPr>
        <w:t>hatályon kívül helyezését.</w:t>
      </w:r>
    </w:p>
    <w:p w:rsidR="001838B8" w:rsidRDefault="001838B8" w:rsidP="001838B8">
      <w:pPr>
        <w:numPr>
          <w:ilvl w:val="0"/>
          <w:numId w:val="6"/>
        </w:numPr>
        <w:suppressAutoHyphens/>
        <w:spacing w:before="120"/>
        <w:jc w:val="both"/>
      </w:pPr>
      <w:r>
        <w:t>Utasítja a Ceglédi Közös Önkormányzati Hivatalt a szükséges intézkedések megtételére.</w:t>
      </w:r>
    </w:p>
    <w:p w:rsidR="001838B8" w:rsidRDefault="001838B8" w:rsidP="001838B8">
      <w:pPr>
        <w:suppressAutoHyphens/>
        <w:jc w:val="both"/>
      </w:pPr>
    </w:p>
    <w:p w:rsidR="001838B8" w:rsidRDefault="001838B8" w:rsidP="001838B8">
      <w:pPr>
        <w:tabs>
          <w:tab w:val="right" w:pos="9356"/>
        </w:tabs>
        <w:jc w:val="both"/>
      </w:pPr>
      <w:r>
        <w:rPr>
          <w:b/>
          <w:u w:val="single"/>
        </w:rPr>
        <w:t>Határidő:</w:t>
      </w:r>
      <w:r>
        <w:t xml:space="preserve"> 2025. november 30.</w:t>
      </w:r>
      <w:r>
        <w:tab/>
      </w:r>
      <w:r>
        <w:rPr>
          <w:b/>
          <w:u w:val="single"/>
        </w:rPr>
        <w:t>Felelős:</w:t>
      </w:r>
      <w:r>
        <w:t xml:space="preserve"> Dr. Diósgyőri Gitta címzetes főjegyző</w:t>
      </w:r>
    </w:p>
    <w:p w:rsidR="001838B8" w:rsidRDefault="001838B8" w:rsidP="001838B8">
      <w:pPr>
        <w:tabs>
          <w:tab w:val="right" w:pos="9356"/>
        </w:tabs>
        <w:jc w:val="both"/>
      </w:pPr>
    </w:p>
    <w:p w:rsidR="001838B8" w:rsidRDefault="001838B8" w:rsidP="001838B8">
      <w:pPr>
        <w:tabs>
          <w:tab w:val="right" w:pos="9356"/>
        </w:tabs>
        <w:jc w:val="center"/>
      </w:pPr>
      <w:r>
        <w:t>---------------</w:t>
      </w:r>
    </w:p>
    <w:p w:rsidR="001838B8" w:rsidRDefault="001838B8" w:rsidP="001838B8">
      <w:pPr>
        <w:tabs>
          <w:tab w:val="right" w:pos="9356"/>
        </w:tabs>
        <w:jc w:val="both"/>
      </w:pPr>
    </w:p>
    <w:p w:rsidR="001838B8" w:rsidRPr="009C4D0D" w:rsidRDefault="001838B8" w:rsidP="001838B8">
      <w:pPr>
        <w:widowControl w:val="0"/>
        <w:spacing w:before="120"/>
        <w:jc w:val="center"/>
        <w:rPr>
          <w:rFonts w:ascii="Times New Roman félkövér" w:hAnsi="Times New Roman félkövér"/>
          <w:b/>
        </w:rPr>
      </w:pPr>
      <w:r>
        <w:rPr>
          <w:rFonts w:ascii="Times New Roman félkövér" w:hAnsi="Times New Roman félkövér"/>
          <w:b/>
          <w:caps/>
        </w:rPr>
        <w:t xml:space="preserve">„B” </w:t>
      </w:r>
      <w:r w:rsidRPr="009C4D0D">
        <w:rPr>
          <w:rFonts w:ascii="Times New Roman félkövér" w:hAnsi="Times New Roman félkövér"/>
          <w:b/>
        </w:rPr>
        <w:t>Határozati javaslat</w:t>
      </w:r>
    </w:p>
    <w:p w:rsidR="001838B8" w:rsidRDefault="001838B8" w:rsidP="001838B8">
      <w:pPr>
        <w:pStyle w:val="Szvegtrzs"/>
        <w:spacing w:before="240"/>
        <w:jc w:val="both"/>
        <w:rPr>
          <w:b/>
          <w:sz w:val="23"/>
          <w:szCs w:val="23"/>
        </w:rPr>
      </w:pPr>
      <w:r w:rsidRPr="009C4D0D">
        <w:rPr>
          <w:b/>
          <w:sz w:val="23"/>
          <w:szCs w:val="23"/>
        </w:rPr>
        <w:t xml:space="preserve">Cegléd Város Önkormányzatának Képviselő-testülete  </w:t>
      </w:r>
    </w:p>
    <w:p w:rsidR="001838B8" w:rsidRDefault="001838B8" w:rsidP="001838B8">
      <w:pPr>
        <w:pStyle w:val="Szvegtrzs"/>
        <w:numPr>
          <w:ilvl w:val="0"/>
          <w:numId w:val="9"/>
        </w:numPr>
        <w:spacing w:before="240"/>
        <w:ind w:left="426" w:firstLine="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Elfogadja a 2026. évi adókoncepció meghatározása során</w:t>
      </w:r>
    </w:p>
    <w:p w:rsidR="001838B8" w:rsidRDefault="001838B8" w:rsidP="001838B8">
      <w:pPr>
        <w:pStyle w:val="Szvegtrzs"/>
        <w:spacing w:before="120"/>
        <w:ind w:left="7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1.1. az építményadó mértékének 950 Ft/m</w:t>
      </w:r>
      <w:r w:rsidRPr="007877AB">
        <w:rPr>
          <w:b/>
          <w:sz w:val="23"/>
          <w:szCs w:val="23"/>
          <w:vertAlign w:val="superscript"/>
        </w:rPr>
        <w:t>2</w:t>
      </w:r>
      <w:r>
        <w:rPr>
          <w:b/>
          <w:sz w:val="23"/>
          <w:szCs w:val="23"/>
        </w:rPr>
        <w:t>/év;</w:t>
      </w:r>
    </w:p>
    <w:p w:rsidR="001838B8" w:rsidRDefault="001838B8" w:rsidP="001838B8">
      <w:pPr>
        <w:pStyle w:val="Szvegtrzs"/>
        <w:spacing w:after="0"/>
        <w:ind w:left="7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1.2. a magánszemélyek kommunális adójának </w:t>
      </w:r>
    </w:p>
    <w:p w:rsidR="001838B8" w:rsidRPr="00480DE4" w:rsidRDefault="001838B8" w:rsidP="001838B8">
      <w:pPr>
        <w:pStyle w:val="Szvegtrzs"/>
        <w:spacing w:after="0"/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1.2.1. a </w:t>
      </w:r>
      <w:r w:rsidRPr="00480DE4">
        <w:rPr>
          <w:sz w:val="23"/>
          <w:szCs w:val="23"/>
        </w:rPr>
        <w:t xml:space="preserve">70 m²-ig terjedő hasznos alapterületű lakás után </w:t>
      </w:r>
      <w:r>
        <w:rPr>
          <w:b/>
          <w:sz w:val="23"/>
          <w:szCs w:val="23"/>
        </w:rPr>
        <w:t>8</w:t>
      </w:r>
      <w:r w:rsidRPr="00FB6C5D">
        <w:rPr>
          <w:b/>
          <w:sz w:val="23"/>
          <w:szCs w:val="23"/>
        </w:rPr>
        <w:t>.</w:t>
      </w:r>
      <w:r>
        <w:rPr>
          <w:b/>
          <w:sz w:val="23"/>
          <w:szCs w:val="23"/>
        </w:rPr>
        <w:t>5</w:t>
      </w:r>
      <w:r w:rsidRPr="00FB6C5D">
        <w:rPr>
          <w:b/>
          <w:sz w:val="23"/>
          <w:szCs w:val="23"/>
        </w:rPr>
        <w:t>00 Ft/év</w:t>
      </w:r>
      <w:r w:rsidRPr="00480DE4">
        <w:rPr>
          <w:sz w:val="23"/>
          <w:szCs w:val="23"/>
        </w:rPr>
        <w:t>,</w:t>
      </w:r>
    </w:p>
    <w:p w:rsidR="001838B8" w:rsidRPr="00480DE4" w:rsidRDefault="001838B8" w:rsidP="001838B8">
      <w:pPr>
        <w:pStyle w:val="Szvegtrzs"/>
        <w:spacing w:after="0"/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1.2.2.a </w:t>
      </w:r>
      <w:r w:rsidRPr="00480DE4">
        <w:rPr>
          <w:sz w:val="23"/>
          <w:szCs w:val="23"/>
        </w:rPr>
        <w:t xml:space="preserve">70 m² feletti hasznos alapterületű lakás után </w:t>
      </w:r>
      <w:r>
        <w:rPr>
          <w:b/>
          <w:sz w:val="23"/>
          <w:szCs w:val="23"/>
        </w:rPr>
        <w:t>17</w:t>
      </w:r>
      <w:r w:rsidRPr="00FB6C5D">
        <w:rPr>
          <w:b/>
          <w:sz w:val="23"/>
          <w:szCs w:val="23"/>
        </w:rPr>
        <w:t>.000Ft/év</w:t>
      </w:r>
      <w:r>
        <w:rPr>
          <w:b/>
          <w:sz w:val="23"/>
          <w:szCs w:val="23"/>
        </w:rPr>
        <w:t>,</w:t>
      </w:r>
    </w:p>
    <w:p w:rsidR="001838B8" w:rsidRDefault="001838B8" w:rsidP="001838B8">
      <w:pPr>
        <w:pStyle w:val="Szvegtrzs"/>
        <w:spacing w:after="0"/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1.2.3. </w:t>
      </w:r>
      <w:r w:rsidRPr="00480DE4">
        <w:rPr>
          <w:sz w:val="23"/>
          <w:szCs w:val="23"/>
        </w:rPr>
        <w:t xml:space="preserve">a </w:t>
      </w:r>
      <w:r>
        <w:rPr>
          <w:sz w:val="23"/>
          <w:szCs w:val="23"/>
        </w:rPr>
        <w:t>beépítetlen terület/</w:t>
      </w:r>
      <w:r w:rsidRPr="00480DE4">
        <w:rPr>
          <w:sz w:val="23"/>
          <w:szCs w:val="23"/>
        </w:rPr>
        <w:t xml:space="preserve">telek után </w:t>
      </w:r>
      <w:r w:rsidRPr="00FB6C5D">
        <w:rPr>
          <w:b/>
          <w:sz w:val="23"/>
          <w:szCs w:val="23"/>
        </w:rPr>
        <w:t>8.000 Ft/év</w:t>
      </w:r>
      <w:r>
        <w:rPr>
          <w:sz w:val="23"/>
          <w:szCs w:val="23"/>
        </w:rPr>
        <w:t xml:space="preserve"> </w:t>
      </w:r>
    </w:p>
    <w:p w:rsidR="001838B8" w:rsidRDefault="001838B8" w:rsidP="001838B8">
      <w:pPr>
        <w:pStyle w:val="Szvegtrzs"/>
        <w:spacing w:after="0"/>
        <w:ind w:left="709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mértékre történő emelését;</w:t>
      </w:r>
    </w:p>
    <w:p w:rsidR="001838B8" w:rsidRDefault="001838B8" w:rsidP="001838B8">
      <w:pPr>
        <w:pStyle w:val="Szvegtrzs"/>
        <w:numPr>
          <w:ilvl w:val="1"/>
          <w:numId w:val="9"/>
        </w:numPr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a helyi iparűzési adó 2 %-os mértékének a hatályban tartását;</w:t>
      </w:r>
    </w:p>
    <w:p w:rsidR="001838B8" w:rsidRDefault="001838B8" w:rsidP="001838B8">
      <w:pPr>
        <w:pStyle w:val="Szvegtrzs"/>
        <w:numPr>
          <w:ilvl w:val="1"/>
          <w:numId w:val="9"/>
        </w:numPr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az idegenforgalmi adó 650 Ft/éj/fő mértékének hatályban tartását;</w:t>
      </w:r>
    </w:p>
    <w:p w:rsidR="001838B8" w:rsidRDefault="001838B8" w:rsidP="001838B8">
      <w:pPr>
        <w:pStyle w:val="Szvegtrzs"/>
        <w:spacing w:before="120"/>
        <w:ind w:left="7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1.5. a zártkerti ingatlanok adókötelezettségének megállapítását;</w:t>
      </w:r>
    </w:p>
    <w:p w:rsidR="001838B8" w:rsidRPr="00FC2EC4" w:rsidRDefault="001838B8" w:rsidP="001838B8">
      <w:pPr>
        <w:pStyle w:val="Szvegtrzs"/>
        <w:spacing w:before="120" w:after="0"/>
        <w:ind w:left="7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1.6. </w:t>
      </w:r>
      <w:r w:rsidRPr="00FC2EC4">
        <w:rPr>
          <w:b/>
          <w:sz w:val="23"/>
          <w:szCs w:val="23"/>
        </w:rPr>
        <w:t xml:space="preserve">az üdülő épületek </w:t>
      </w:r>
      <w:r w:rsidRPr="00FC2EC4">
        <w:rPr>
          <w:b/>
          <w:bCs/>
          <w:sz w:val="23"/>
          <w:szCs w:val="23"/>
        </w:rPr>
        <w:t>Cegléd Város Önkormányzata Képviselő-testületének</w:t>
      </w:r>
      <w:r>
        <w:rPr>
          <w:b/>
          <w:bCs/>
          <w:sz w:val="23"/>
          <w:szCs w:val="23"/>
        </w:rPr>
        <w:t xml:space="preserve"> </w:t>
      </w:r>
      <w:r w:rsidRPr="00620F92">
        <w:rPr>
          <w:b/>
          <w:bCs/>
          <w:i/>
          <w:sz w:val="23"/>
          <w:szCs w:val="23"/>
        </w:rPr>
        <w:t>az építményadóról szóló 28/2010. (XII. 23.) önkormányzati rendelet</w:t>
      </w:r>
      <w:r>
        <w:rPr>
          <w:b/>
          <w:bCs/>
          <w:sz w:val="23"/>
          <w:szCs w:val="23"/>
        </w:rPr>
        <w:t xml:space="preserve"> 3. § b) és c) pontjában meghatározott</w:t>
      </w:r>
      <w:r w:rsidRPr="00FC2EC4">
        <w:rPr>
          <w:b/>
          <w:bCs/>
          <w:sz w:val="23"/>
          <w:szCs w:val="23"/>
        </w:rPr>
        <w:t xml:space="preserve"> </w:t>
      </w:r>
      <w:r w:rsidRPr="00FC2EC4">
        <w:rPr>
          <w:b/>
          <w:sz w:val="23"/>
          <w:szCs w:val="23"/>
        </w:rPr>
        <w:t xml:space="preserve">mentességének </w:t>
      </w:r>
      <w:r>
        <w:rPr>
          <w:b/>
          <w:sz w:val="23"/>
          <w:szCs w:val="23"/>
        </w:rPr>
        <w:t>hatályon kívül helyezését.</w:t>
      </w:r>
    </w:p>
    <w:p w:rsidR="001838B8" w:rsidRDefault="001838B8" w:rsidP="001838B8">
      <w:pPr>
        <w:pStyle w:val="Listaszerbekezds"/>
        <w:numPr>
          <w:ilvl w:val="0"/>
          <w:numId w:val="9"/>
        </w:numPr>
        <w:suppressAutoHyphens/>
        <w:spacing w:before="120"/>
        <w:ind w:left="426" w:firstLine="0"/>
        <w:jc w:val="both"/>
      </w:pPr>
      <w:r>
        <w:t>Utasítja a Ceglédi Közös Önkormányzati Hivatalt a szükséges intézkedések megtételére.</w:t>
      </w:r>
    </w:p>
    <w:p w:rsidR="001838B8" w:rsidRDefault="001838B8" w:rsidP="001838B8">
      <w:pPr>
        <w:suppressAutoHyphens/>
        <w:jc w:val="both"/>
      </w:pPr>
    </w:p>
    <w:p w:rsidR="001838B8" w:rsidRDefault="001838B8" w:rsidP="001838B8">
      <w:pPr>
        <w:tabs>
          <w:tab w:val="right" w:pos="9356"/>
        </w:tabs>
        <w:jc w:val="both"/>
      </w:pPr>
      <w:r>
        <w:rPr>
          <w:b/>
          <w:u w:val="single"/>
        </w:rPr>
        <w:t>Határidő:</w:t>
      </w:r>
      <w:r>
        <w:t xml:space="preserve"> 2025. november 30.</w:t>
      </w:r>
      <w:r>
        <w:tab/>
      </w:r>
      <w:r>
        <w:rPr>
          <w:b/>
          <w:u w:val="single"/>
        </w:rPr>
        <w:t>Felelős:</w:t>
      </w:r>
      <w:r>
        <w:t xml:space="preserve"> Dr. Diósgyőri Gitta, címzetes főjegyző</w:t>
      </w:r>
    </w:p>
    <w:p w:rsidR="001838B8" w:rsidRDefault="001838B8" w:rsidP="001838B8">
      <w:pPr>
        <w:tabs>
          <w:tab w:val="right" w:pos="9356"/>
        </w:tabs>
        <w:jc w:val="both"/>
      </w:pPr>
    </w:p>
    <w:p w:rsidR="001838B8" w:rsidRDefault="001838B8" w:rsidP="001838B8">
      <w:pPr>
        <w:jc w:val="both"/>
        <w:rPr>
          <w:sz w:val="20"/>
          <w:u w:val="single"/>
        </w:rPr>
      </w:pPr>
    </w:p>
    <w:p w:rsidR="001838B8" w:rsidRPr="00FC2EC4" w:rsidRDefault="001838B8" w:rsidP="001838B8">
      <w:pPr>
        <w:jc w:val="both"/>
        <w:rPr>
          <w:sz w:val="20"/>
          <w:u w:val="single"/>
        </w:rPr>
      </w:pPr>
      <w:r w:rsidRPr="00FC2EC4">
        <w:rPr>
          <w:sz w:val="20"/>
          <w:u w:val="single"/>
        </w:rPr>
        <w:t>A határozatot kapja:</w:t>
      </w:r>
    </w:p>
    <w:p w:rsidR="001838B8" w:rsidRDefault="001838B8" w:rsidP="001838B8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1. Ceglédi Közös Önkormányzati Hivatal Adóhatósági Iroda - Helyben</w:t>
      </w:r>
    </w:p>
    <w:p w:rsidR="001838B8" w:rsidRDefault="001838B8" w:rsidP="001838B8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2. Irattár</w:t>
      </w:r>
    </w:p>
    <w:p w:rsidR="00BA57FA" w:rsidRPr="00BA57FA" w:rsidRDefault="00BA57FA" w:rsidP="00BA57FA">
      <w:pPr>
        <w:tabs>
          <w:tab w:val="left" w:pos="13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54FE3" w:rsidRPr="00BA57FA" w:rsidRDefault="00A54FE3" w:rsidP="00BA57FA">
      <w:pPr>
        <w:rPr>
          <w:sz w:val="28"/>
          <w:szCs w:val="28"/>
        </w:rPr>
        <w:sectPr w:rsidR="00A54FE3" w:rsidRPr="00BA57FA" w:rsidSect="00E1702D">
          <w:headerReference w:type="default" r:id="rId10"/>
          <w:pgSz w:w="11906" w:h="16838"/>
          <w:pgMar w:top="851" w:right="991" w:bottom="851" w:left="1417" w:header="708" w:footer="708" w:gutter="0"/>
          <w:cols w:space="708"/>
          <w:titlePg/>
          <w:docGrid w:linePitch="360"/>
        </w:sectPr>
      </w:pPr>
    </w:p>
    <w:tbl>
      <w:tblPr>
        <w:tblpPr w:leftFromText="141" w:rightFromText="141" w:vertAnchor="page" w:horzAnchor="margin" w:tblpXSpec="center" w:tblpY="1171"/>
        <w:tblW w:w="127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48"/>
      </w:tblGrid>
      <w:tr w:rsidR="00A54FE3" w:rsidRPr="009A39DF" w:rsidTr="004764EF">
        <w:trPr>
          <w:trHeight w:val="696"/>
        </w:trPr>
        <w:tc>
          <w:tcPr>
            <w:tcW w:w="1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4FE3" w:rsidRDefault="00A54FE3" w:rsidP="004764E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Cegléd Város Önkormányzatának Magánszemélyek kommunális adó adónemének 2026. évi mértékváltozás tervei és bevételszámai</w:t>
            </w:r>
          </w:p>
          <w:p w:rsidR="00A54FE3" w:rsidRPr="009A39DF" w:rsidRDefault="00A54FE3" w:rsidP="004764EF">
            <w:pPr>
              <w:ind w:left="492"/>
              <w:jc w:val="center"/>
              <w:rPr>
                <w:b/>
                <w:bCs/>
                <w:color w:val="000000"/>
              </w:rPr>
            </w:pPr>
          </w:p>
        </w:tc>
      </w:tr>
    </w:tbl>
    <w:tbl>
      <w:tblPr>
        <w:tblpPr w:leftFromText="141" w:rightFromText="141" w:vertAnchor="page" w:horzAnchor="margin" w:tblpXSpec="center" w:tblpY="2116"/>
        <w:tblW w:w="127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8"/>
        <w:gridCol w:w="2835"/>
        <w:gridCol w:w="2976"/>
        <w:gridCol w:w="3119"/>
      </w:tblGrid>
      <w:tr w:rsidR="00FF6551" w:rsidRPr="001C67EC" w:rsidTr="004764EF">
        <w:trPr>
          <w:trHeight w:val="599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551" w:rsidRPr="001C67EC" w:rsidRDefault="00FF6551" w:rsidP="004764EF">
            <w:pPr>
              <w:jc w:val="center"/>
              <w:rPr>
                <w:b/>
                <w:bCs/>
                <w:i/>
                <w:color w:val="000000"/>
              </w:rPr>
            </w:pPr>
            <w:r w:rsidRPr="001C67EC">
              <w:rPr>
                <w:b/>
                <w:bCs/>
                <w:i/>
                <w:color w:val="000000"/>
              </w:rPr>
              <w:t>Adótárgy 1</w:t>
            </w:r>
            <w:r w:rsidR="00937D17">
              <w:rPr>
                <w:b/>
                <w:bCs/>
                <w:i/>
                <w:color w:val="000000"/>
              </w:rPr>
              <w:t>3</w:t>
            </w:r>
            <w:r w:rsidRPr="001C67EC">
              <w:rPr>
                <w:b/>
                <w:bCs/>
                <w:i/>
                <w:color w:val="000000"/>
              </w:rPr>
              <w:t xml:space="preserve"> </w:t>
            </w:r>
            <w:r w:rsidR="00937D17">
              <w:rPr>
                <w:b/>
                <w:bCs/>
                <w:i/>
                <w:color w:val="000000"/>
              </w:rPr>
              <w:t>187</w:t>
            </w:r>
            <w:r w:rsidRPr="001C67EC">
              <w:rPr>
                <w:b/>
                <w:bCs/>
                <w:i/>
                <w:color w:val="000000"/>
              </w:rPr>
              <w:t xml:space="preserve"> db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F6551" w:rsidRPr="001C67EC" w:rsidRDefault="00FF6551" w:rsidP="004764EF">
            <w:pPr>
              <w:jc w:val="center"/>
              <w:rPr>
                <w:b/>
                <w:bCs/>
                <w:i/>
                <w:color w:val="000000"/>
              </w:rPr>
            </w:pPr>
            <w:r w:rsidRPr="001C67EC">
              <w:rPr>
                <w:b/>
                <w:bCs/>
                <w:i/>
                <w:color w:val="000000"/>
              </w:rPr>
              <w:t>Jelenlegi adómérték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FF6551" w:rsidRPr="001C67EC" w:rsidRDefault="00FF6551" w:rsidP="004764EF">
            <w:pPr>
              <w:jc w:val="center"/>
              <w:rPr>
                <w:b/>
                <w:bCs/>
                <w:i/>
                <w:color w:val="000000"/>
              </w:rPr>
            </w:pPr>
            <w:r w:rsidRPr="001C67EC">
              <w:rPr>
                <w:b/>
                <w:bCs/>
                <w:i/>
                <w:color w:val="000000"/>
              </w:rPr>
              <w:t xml:space="preserve">I. javaslat  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F6551" w:rsidRPr="001C67EC" w:rsidRDefault="00FF6551" w:rsidP="004764EF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I</w:t>
            </w:r>
            <w:r w:rsidRPr="001C67EC">
              <w:rPr>
                <w:b/>
                <w:bCs/>
                <w:i/>
                <w:color w:val="000000"/>
              </w:rPr>
              <w:t xml:space="preserve">I. javaslat    </w:t>
            </w:r>
          </w:p>
        </w:tc>
      </w:tr>
      <w:tr w:rsidR="00880461" w:rsidRPr="009A39DF" w:rsidTr="004764EF">
        <w:trPr>
          <w:gridAfter w:val="2"/>
          <w:wAfter w:w="6095" w:type="dxa"/>
          <w:trHeight w:val="42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461" w:rsidRPr="009A39DF" w:rsidRDefault="0088046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70 m</w:t>
            </w:r>
            <w:r w:rsidRPr="009A39DF">
              <w:rPr>
                <w:b/>
                <w:bCs/>
                <w:color w:val="000000"/>
                <w:vertAlign w:val="superscript"/>
              </w:rPr>
              <w:t>2</w:t>
            </w:r>
            <w:r w:rsidRPr="009A39DF">
              <w:rPr>
                <w:b/>
                <w:bCs/>
                <w:color w:val="000000"/>
              </w:rPr>
              <w:t xml:space="preserve"> alatti ingatlan (db)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</w:tcBorders>
            <w:vAlign w:val="center"/>
          </w:tcPr>
          <w:p w:rsidR="00880461" w:rsidRPr="00880461" w:rsidRDefault="00880461" w:rsidP="004764EF">
            <w:pPr>
              <w:jc w:val="center"/>
              <w:rPr>
                <w:b/>
                <w:bCs/>
                <w:i/>
                <w:color w:val="000000"/>
              </w:rPr>
            </w:pPr>
            <w:r w:rsidRPr="00880461">
              <w:rPr>
                <w:b/>
                <w:bCs/>
                <w:i/>
                <w:color w:val="000000"/>
              </w:rPr>
              <w:t>4571</w:t>
            </w:r>
          </w:p>
        </w:tc>
      </w:tr>
      <w:tr w:rsidR="00FF6551" w:rsidRPr="009A39DF" w:rsidTr="004764EF">
        <w:trPr>
          <w:trHeight w:val="341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Adómérték (Ft)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6 500 Ft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FF0000"/>
              </w:rPr>
            </w:pPr>
            <w:r w:rsidRPr="009A39DF">
              <w:rPr>
                <w:b/>
                <w:bCs/>
                <w:color w:val="FF0000"/>
              </w:rPr>
              <w:t>10 000 Ft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FF0000"/>
              </w:rPr>
            </w:pPr>
            <w:r w:rsidRPr="009A39DF">
              <w:rPr>
                <w:b/>
                <w:bCs/>
                <w:color w:val="FF0000"/>
              </w:rPr>
              <w:t>8</w:t>
            </w:r>
            <w:r>
              <w:rPr>
                <w:b/>
                <w:bCs/>
                <w:color w:val="FF0000"/>
              </w:rPr>
              <w:t xml:space="preserve"> 500 </w:t>
            </w:r>
            <w:r w:rsidRPr="009A39DF">
              <w:rPr>
                <w:b/>
                <w:bCs/>
                <w:color w:val="FF0000"/>
              </w:rPr>
              <w:t>Ft</w:t>
            </w:r>
          </w:p>
        </w:tc>
      </w:tr>
      <w:tr w:rsidR="00FF6551" w:rsidRPr="009A39DF" w:rsidTr="004764EF">
        <w:trPr>
          <w:trHeight w:val="403"/>
        </w:trPr>
        <w:tc>
          <w:tcPr>
            <w:tcW w:w="3818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Adózó havi költsége (Ft)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542 Ft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833 Ft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708 Ft</w:t>
            </w:r>
          </w:p>
        </w:tc>
      </w:tr>
      <w:tr w:rsidR="00FF6551" w:rsidRPr="009A39DF" w:rsidTr="004764EF">
        <w:trPr>
          <w:gridAfter w:val="2"/>
          <w:wAfter w:w="6095" w:type="dxa"/>
          <w:trHeight w:val="402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70 m</w:t>
            </w:r>
            <w:r w:rsidRPr="009A39DF">
              <w:rPr>
                <w:b/>
                <w:bCs/>
                <w:color w:val="000000"/>
                <w:vertAlign w:val="superscript"/>
              </w:rPr>
              <w:t>2</w:t>
            </w:r>
            <w:r w:rsidRPr="009A39DF">
              <w:rPr>
                <w:b/>
                <w:bCs/>
                <w:color w:val="000000"/>
              </w:rPr>
              <w:t xml:space="preserve"> alatti kedvezményes (db)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6551" w:rsidRPr="00880461" w:rsidRDefault="00937D17" w:rsidP="004764EF">
            <w:pPr>
              <w:jc w:val="center"/>
              <w:rPr>
                <w:b/>
                <w:bCs/>
                <w:i/>
                <w:color w:val="000000"/>
              </w:rPr>
            </w:pPr>
            <w:r w:rsidRPr="00880461">
              <w:rPr>
                <w:b/>
                <w:bCs/>
                <w:i/>
                <w:color w:val="000000"/>
              </w:rPr>
              <w:t>2318</w:t>
            </w:r>
          </w:p>
        </w:tc>
      </w:tr>
      <w:tr w:rsidR="00FF6551" w:rsidRPr="009A39DF" w:rsidTr="004764EF">
        <w:trPr>
          <w:trHeight w:val="401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Adómérték (Ft)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5 200 Ft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1C67EC">
              <w:rPr>
                <w:b/>
                <w:bCs/>
                <w:color w:val="FF0000"/>
              </w:rPr>
              <w:t>8 000 Ft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1C67EC">
              <w:rPr>
                <w:b/>
                <w:bCs/>
                <w:color w:val="FF0000"/>
              </w:rPr>
              <w:t>6 800 Ft</w:t>
            </w:r>
          </w:p>
        </w:tc>
      </w:tr>
      <w:tr w:rsidR="00FF6551" w:rsidRPr="009A39DF" w:rsidTr="004764EF">
        <w:trPr>
          <w:trHeight w:val="49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Adózó havi költsége (Ft)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433 Ft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667 Ft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567 Ft</w:t>
            </w:r>
          </w:p>
        </w:tc>
      </w:tr>
      <w:tr w:rsidR="00FF6551" w:rsidRPr="009A39DF" w:rsidTr="004764EF">
        <w:trPr>
          <w:trHeight w:val="225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551" w:rsidRPr="009A39DF" w:rsidRDefault="00FF6551" w:rsidP="004764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sz w:val="20"/>
                <w:szCs w:val="20"/>
              </w:rPr>
            </w:pPr>
          </w:p>
        </w:tc>
      </w:tr>
      <w:tr w:rsidR="00FF6551" w:rsidRPr="009A39DF" w:rsidTr="004764EF">
        <w:trPr>
          <w:gridAfter w:val="2"/>
          <w:wAfter w:w="6095" w:type="dxa"/>
          <w:trHeight w:val="420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70 m</w:t>
            </w:r>
            <w:r w:rsidRPr="009A39DF">
              <w:rPr>
                <w:b/>
                <w:bCs/>
                <w:color w:val="000000"/>
                <w:vertAlign w:val="superscript"/>
              </w:rPr>
              <w:t>2</w:t>
            </w:r>
            <w:r w:rsidRPr="009A39DF">
              <w:rPr>
                <w:b/>
                <w:bCs/>
                <w:color w:val="000000"/>
              </w:rPr>
              <w:t xml:space="preserve"> feletti ingatlan (db)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6551" w:rsidRPr="00880461" w:rsidRDefault="00880461" w:rsidP="004764EF">
            <w:pPr>
              <w:jc w:val="center"/>
              <w:rPr>
                <w:b/>
                <w:bCs/>
                <w:i/>
                <w:color w:val="000000"/>
              </w:rPr>
            </w:pPr>
            <w:r w:rsidRPr="00880461">
              <w:rPr>
                <w:b/>
                <w:bCs/>
                <w:i/>
                <w:color w:val="000000"/>
              </w:rPr>
              <w:t>4482</w:t>
            </w:r>
          </w:p>
        </w:tc>
      </w:tr>
      <w:tr w:rsidR="00FF6551" w:rsidRPr="009A39DF" w:rsidTr="004764EF">
        <w:trPr>
          <w:trHeight w:val="381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Adómérték (Ft)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13 000 Ft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FF0000"/>
              </w:rPr>
            </w:pPr>
            <w:r w:rsidRPr="009A39DF">
              <w:rPr>
                <w:b/>
                <w:bCs/>
                <w:color w:val="FF0000"/>
              </w:rPr>
              <w:t>20 000 Ft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FF0000"/>
              </w:rPr>
            </w:pPr>
            <w:r w:rsidRPr="009A39DF">
              <w:rPr>
                <w:b/>
                <w:bCs/>
                <w:color w:val="FF0000"/>
              </w:rPr>
              <w:t>17 000 Ft</w:t>
            </w:r>
          </w:p>
        </w:tc>
      </w:tr>
      <w:tr w:rsidR="00FF6551" w:rsidRPr="009A39DF" w:rsidTr="004764EF">
        <w:trPr>
          <w:trHeight w:val="416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Adózó havi költsége (Ft)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1 083 Ft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1 667 Ft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1 417 Ft</w:t>
            </w:r>
          </w:p>
        </w:tc>
      </w:tr>
      <w:tr w:rsidR="00FF6551" w:rsidRPr="009A39DF" w:rsidTr="004764EF">
        <w:trPr>
          <w:gridAfter w:val="2"/>
          <w:wAfter w:w="6095" w:type="dxa"/>
          <w:trHeight w:val="386"/>
        </w:trPr>
        <w:tc>
          <w:tcPr>
            <w:tcW w:w="3818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70 m</w:t>
            </w:r>
            <w:r w:rsidRPr="009A39DF">
              <w:rPr>
                <w:b/>
                <w:bCs/>
                <w:color w:val="000000"/>
                <w:vertAlign w:val="superscript"/>
              </w:rPr>
              <w:t>2</w:t>
            </w:r>
            <w:r w:rsidRPr="009A39DF">
              <w:rPr>
                <w:b/>
                <w:bCs/>
                <w:color w:val="000000"/>
              </w:rPr>
              <w:t xml:space="preserve"> feletti kedvezményes (db)</w:t>
            </w:r>
          </w:p>
        </w:tc>
        <w:tc>
          <w:tcPr>
            <w:tcW w:w="2835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6551" w:rsidRPr="00880461" w:rsidRDefault="00880461" w:rsidP="004764EF">
            <w:pPr>
              <w:jc w:val="center"/>
              <w:rPr>
                <w:b/>
                <w:bCs/>
                <w:i/>
                <w:color w:val="000000"/>
              </w:rPr>
            </w:pPr>
            <w:r w:rsidRPr="00880461">
              <w:rPr>
                <w:b/>
                <w:bCs/>
                <w:i/>
                <w:color w:val="000000"/>
              </w:rPr>
              <w:t>1587</w:t>
            </w:r>
          </w:p>
        </w:tc>
      </w:tr>
      <w:tr w:rsidR="00FF6551" w:rsidRPr="009A39DF" w:rsidTr="004764EF">
        <w:trPr>
          <w:trHeight w:val="43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Adómérték (Ft)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10 400 Ft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FF0000"/>
              </w:rPr>
            </w:pPr>
            <w:r w:rsidRPr="009A39DF">
              <w:rPr>
                <w:b/>
                <w:bCs/>
                <w:color w:val="FF0000"/>
              </w:rPr>
              <w:t>16 000 Ft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FF0000"/>
              </w:rPr>
            </w:pPr>
            <w:r w:rsidRPr="009A39DF">
              <w:rPr>
                <w:b/>
                <w:bCs/>
                <w:color w:val="FF0000"/>
              </w:rPr>
              <w:t>13 600 Ft</w:t>
            </w:r>
          </w:p>
        </w:tc>
      </w:tr>
      <w:tr w:rsidR="00FF6551" w:rsidRPr="009A39DF" w:rsidTr="004764EF">
        <w:trPr>
          <w:trHeight w:val="45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Adózó havi költsége (Ft)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867 Ft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1 333 Ft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1 133 Ft</w:t>
            </w:r>
          </w:p>
        </w:tc>
      </w:tr>
      <w:tr w:rsidR="00FF6551" w:rsidRPr="009A39DF" w:rsidTr="004764EF">
        <w:trPr>
          <w:trHeight w:val="240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6551" w:rsidRPr="009A39DF" w:rsidRDefault="00FF6551" w:rsidP="004764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sz w:val="20"/>
                <w:szCs w:val="20"/>
              </w:rPr>
            </w:pPr>
          </w:p>
        </w:tc>
      </w:tr>
      <w:tr w:rsidR="00FF6551" w:rsidRPr="009A39DF" w:rsidTr="004764EF">
        <w:trPr>
          <w:gridAfter w:val="2"/>
          <w:wAfter w:w="6095" w:type="dxa"/>
          <w:trHeight w:val="335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Beépítetlen terület (db)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6551" w:rsidRPr="00880461" w:rsidRDefault="00880461" w:rsidP="004764EF">
            <w:pPr>
              <w:jc w:val="center"/>
              <w:rPr>
                <w:b/>
                <w:bCs/>
                <w:i/>
                <w:color w:val="000000"/>
              </w:rPr>
            </w:pPr>
            <w:r w:rsidRPr="00880461">
              <w:rPr>
                <w:b/>
                <w:bCs/>
                <w:i/>
                <w:color w:val="000000"/>
              </w:rPr>
              <w:t>229</w:t>
            </w:r>
          </w:p>
        </w:tc>
      </w:tr>
      <w:tr w:rsidR="00FF6551" w:rsidRPr="009A39DF" w:rsidTr="004764EF">
        <w:trPr>
          <w:trHeight w:val="45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Adómérték (Ft)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3 900 Ft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1C67EC">
              <w:rPr>
                <w:b/>
                <w:bCs/>
                <w:color w:val="FF0000"/>
              </w:rPr>
              <w:t>8 000 Ft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1C67EC">
              <w:rPr>
                <w:b/>
                <w:bCs/>
                <w:color w:val="FF0000"/>
              </w:rPr>
              <w:t>8 000 Ft</w:t>
            </w:r>
          </w:p>
        </w:tc>
      </w:tr>
      <w:tr w:rsidR="00FF6551" w:rsidRPr="009A39DF" w:rsidTr="004764EF">
        <w:trPr>
          <w:trHeight w:val="49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Adózó havi költsége (Ft)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 w:rsidRPr="009A39DF">
              <w:rPr>
                <w:b/>
                <w:bCs/>
                <w:color w:val="000000"/>
              </w:rPr>
              <w:t>325 Ft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667</w:t>
            </w:r>
            <w:r w:rsidRPr="009A39DF">
              <w:rPr>
                <w:b/>
                <w:bCs/>
                <w:color w:val="000000"/>
              </w:rPr>
              <w:t xml:space="preserve"> Ft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667</w:t>
            </w:r>
            <w:r w:rsidRPr="009A39DF">
              <w:rPr>
                <w:b/>
                <w:bCs/>
                <w:color w:val="000000"/>
              </w:rPr>
              <w:t xml:space="preserve"> Ft</w:t>
            </w:r>
          </w:p>
        </w:tc>
      </w:tr>
      <w:tr w:rsidR="00FF6551" w:rsidRPr="009A39DF" w:rsidTr="004764EF">
        <w:trPr>
          <w:trHeight w:val="425"/>
        </w:trPr>
        <w:tc>
          <w:tcPr>
            <w:tcW w:w="3818" w:type="dxa"/>
            <w:tcBorders>
              <w:top w:val="nil"/>
              <w:left w:val="single" w:sz="8" w:space="0" w:color="auto"/>
              <w:bottom w:val="dotDash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A39DF">
              <w:rPr>
                <w:b/>
                <w:bCs/>
                <w:color w:val="000000"/>
                <w:sz w:val="28"/>
                <w:szCs w:val="28"/>
              </w:rPr>
              <w:t>Tervezhető előírás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dotDash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A39DF">
              <w:rPr>
                <w:b/>
                <w:bCs/>
                <w:color w:val="000000"/>
                <w:sz w:val="28"/>
                <w:szCs w:val="28"/>
              </w:rPr>
              <w:t>11</w:t>
            </w:r>
            <w:r w:rsidR="00937D17">
              <w:rPr>
                <w:b/>
                <w:bCs/>
                <w:color w:val="000000"/>
                <w:sz w:val="28"/>
                <w:szCs w:val="28"/>
              </w:rPr>
              <w:t>7 429 000</w:t>
            </w:r>
            <w:r w:rsidRPr="009A39DF">
              <w:rPr>
                <w:b/>
                <w:bCs/>
                <w:color w:val="000000"/>
                <w:sz w:val="28"/>
                <w:szCs w:val="28"/>
              </w:rPr>
              <w:t xml:space="preserve"> Ft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dotDash" w:sz="8" w:space="0" w:color="auto"/>
              <w:right w:val="single" w:sz="8" w:space="0" w:color="auto"/>
            </w:tcBorders>
            <w:vAlign w:val="center"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937D17">
              <w:rPr>
                <w:b/>
                <w:bCs/>
                <w:color w:val="000000"/>
                <w:sz w:val="28"/>
                <w:szCs w:val="28"/>
              </w:rPr>
              <w:t>80 179 100</w:t>
            </w:r>
            <w:r w:rsidRPr="009A39DF">
              <w:rPr>
                <w:b/>
                <w:bCs/>
                <w:color w:val="000000"/>
                <w:sz w:val="28"/>
                <w:szCs w:val="28"/>
              </w:rPr>
              <w:t xml:space="preserve"> Ft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dotDash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A39DF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937D17">
              <w:rPr>
                <w:b/>
                <w:bCs/>
                <w:color w:val="000000"/>
                <w:sz w:val="28"/>
                <w:szCs w:val="28"/>
              </w:rPr>
              <w:t>53 286 200</w:t>
            </w:r>
            <w:r w:rsidRPr="009A39DF">
              <w:rPr>
                <w:b/>
                <w:bCs/>
                <w:color w:val="000000"/>
                <w:sz w:val="28"/>
                <w:szCs w:val="28"/>
              </w:rPr>
              <w:t xml:space="preserve"> Ft</w:t>
            </w:r>
          </w:p>
        </w:tc>
      </w:tr>
      <w:tr w:rsidR="00FF6551" w:rsidRPr="009A39DF" w:rsidTr="004764EF">
        <w:trPr>
          <w:trHeight w:val="54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A39DF">
              <w:rPr>
                <w:b/>
                <w:bCs/>
                <w:color w:val="000000"/>
                <w:sz w:val="28"/>
                <w:szCs w:val="28"/>
              </w:rPr>
              <w:t>Többletbevétel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A39DF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937D17">
              <w:rPr>
                <w:b/>
                <w:bCs/>
                <w:color w:val="000000"/>
                <w:sz w:val="28"/>
                <w:szCs w:val="28"/>
              </w:rPr>
              <w:t>2 750 100</w:t>
            </w:r>
            <w:r w:rsidRPr="009A39DF">
              <w:rPr>
                <w:b/>
                <w:bCs/>
                <w:color w:val="000000"/>
                <w:sz w:val="28"/>
                <w:szCs w:val="28"/>
              </w:rPr>
              <w:t xml:space="preserve"> Ft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51" w:rsidRPr="009A39DF" w:rsidRDefault="00FF6551" w:rsidP="004764E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A39DF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937D17">
              <w:rPr>
                <w:b/>
                <w:bCs/>
                <w:color w:val="000000"/>
                <w:sz w:val="28"/>
                <w:szCs w:val="28"/>
              </w:rPr>
              <w:t xml:space="preserve">5 857 200 </w:t>
            </w:r>
            <w:r w:rsidRPr="009A39DF">
              <w:rPr>
                <w:b/>
                <w:bCs/>
                <w:color w:val="000000"/>
                <w:sz w:val="28"/>
                <w:szCs w:val="28"/>
              </w:rPr>
              <w:t>Ft</w:t>
            </w:r>
          </w:p>
        </w:tc>
      </w:tr>
    </w:tbl>
    <w:p w:rsidR="00FB6C5D" w:rsidRDefault="004764EF" w:rsidP="004764EF">
      <w:pPr>
        <w:pStyle w:val="Listaszerbekezds"/>
        <w:numPr>
          <w:ilvl w:val="0"/>
          <w:numId w:val="14"/>
        </w:numPr>
        <w:tabs>
          <w:tab w:val="right" w:pos="9356"/>
        </w:tabs>
        <w:jc w:val="right"/>
      </w:pPr>
      <w:r>
        <w:t>melléklet</w:t>
      </w:r>
    </w:p>
    <w:sectPr w:rsidR="00FB6C5D" w:rsidSect="004764EF">
      <w:pgSz w:w="16838" w:h="11906" w:orient="landscape"/>
      <w:pgMar w:top="709" w:right="1134" w:bottom="992" w:left="992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941" w:rsidRDefault="00314941" w:rsidP="005A2EFA">
      <w:r>
        <w:separator/>
      </w:r>
    </w:p>
  </w:endnote>
  <w:endnote w:type="continuationSeparator" w:id="0">
    <w:p w:rsidR="00314941" w:rsidRDefault="00314941" w:rsidP="005A2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félkövé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941" w:rsidRDefault="00314941" w:rsidP="005A2EFA">
      <w:r>
        <w:separator/>
      </w:r>
    </w:p>
  </w:footnote>
  <w:footnote w:type="continuationSeparator" w:id="0">
    <w:p w:rsidR="00314941" w:rsidRDefault="00314941" w:rsidP="005A2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6C4" w:rsidRDefault="003856C4" w:rsidP="004764EF">
    <w:pPr>
      <w:pStyle w:val="lfej"/>
      <w:ind w:left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E2B9F"/>
    <w:multiLevelType w:val="multilevel"/>
    <w:tmpl w:val="5D4A3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13D63F03"/>
    <w:multiLevelType w:val="hybridMultilevel"/>
    <w:tmpl w:val="D3DE8DDC"/>
    <w:lvl w:ilvl="0" w:tplc="B43E5BB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5A13CF"/>
    <w:multiLevelType w:val="hybridMultilevel"/>
    <w:tmpl w:val="155E33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D41A1"/>
    <w:multiLevelType w:val="hybridMultilevel"/>
    <w:tmpl w:val="6DA601B0"/>
    <w:lvl w:ilvl="0" w:tplc="18BA1C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FE0883"/>
    <w:multiLevelType w:val="hybridMultilevel"/>
    <w:tmpl w:val="541AF6A2"/>
    <w:lvl w:ilvl="0" w:tplc="C4903D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8E066A"/>
    <w:multiLevelType w:val="hybridMultilevel"/>
    <w:tmpl w:val="3D182292"/>
    <w:lvl w:ilvl="0" w:tplc="A1B4E268"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862DC"/>
    <w:multiLevelType w:val="hybridMultilevel"/>
    <w:tmpl w:val="E6A01A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D0952"/>
    <w:multiLevelType w:val="hybridMultilevel"/>
    <w:tmpl w:val="541AF6A2"/>
    <w:lvl w:ilvl="0" w:tplc="C4903D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3F42A7"/>
    <w:multiLevelType w:val="hybridMultilevel"/>
    <w:tmpl w:val="1D34AA1C"/>
    <w:lvl w:ilvl="0" w:tplc="C4903D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A72D45"/>
    <w:multiLevelType w:val="hybridMultilevel"/>
    <w:tmpl w:val="A3684244"/>
    <w:lvl w:ilvl="0" w:tplc="93F82194">
      <w:start w:val="6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A419A4"/>
    <w:multiLevelType w:val="hybridMultilevel"/>
    <w:tmpl w:val="993628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4249C"/>
    <w:multiLevelType w:val="hybridMultilevel"/>
    <w:tmpl w:val="0A361D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07438"/>
    <w:multiLevelType w:val="multilevel"/>
    <w:tmpl w:val="AA76F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6D860F21"/>
    <w:multiLevelType w:val="hybridMultilevel"/>
    <w:tmpl w:val="134CC4F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6"/>
  </w:num>
  <w:num w:numId="5">
    <w:abstractNumId w:val="1"/>
  </w:num>
  <w:num w:numId="6">
    <w:abstractNumId w:val="1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4"/>
  </w:num>
  <w:num w:numId="11">
    <w:abstractNumId w:val="8"/>
  </w:num>
  <w:num w:numId="12">
    <w:abstractNumId w:val="10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84A"/>
    <w:rsid w:val="00047F7E"/>
    <w:rsid w:val="00063470"/>
    <w:rsid w:val="000635D9"/>
    <w:rsid w:val="000745EB"/>
    <w:rsid w:val="00087379"/>
    <w:rsid w:val="000913E6"/>
    <w:rsid w:val="000B135D"/>
    <w:rsid w:val="000B6BD2"/>
    <w:rsid w:val="000C669D"/>
    <w:rsid w:val="000D6FD8"/>
    <w:rsid w:val="0011744D"/>
    <w:rsid w:val="00121791"/>
    <w:rsid w:val="0012530B"/>
    <w:rsid w:val="001527ED"/>
    <w:rsid w:val="00170603"/>
    <w:rsid w:val="001838B8"/>
    <w:rsid w:val="001A1AD3"/>
    <w:rsid w:val="001A24A0"/>
    <w:rsid w:val="001D463A"/>
    <w:rsid w:val="001E58BD"/>
    <w:rsid w:val="002422CA"/>
    <w:rsid w:val="00286500"/>
    <w:rsid w:val="002B02CD"/>
    <w:rsid w:val="002B6651"/>
    <w:rsid w:val="002D69F6"/>
    <w:rsid w:val="002F1082"/>
    <w:rsid w:val="002F411B"/>
    <w:rsid w:val="002F630F"/>
    <w:rsid w:val="00314941"/>
    <w:rsid w:val="00327E78"/>
    <w:rsid w:val="003856C4"/>
    <w:rsid w:val="00391E78"/>
    <w:rsid w:val="003B1208"/>
    <w:rsid w:val="003B4316"/>
    <w:rsid w:val="004013F1"/>
    <w:rsid w:val="0040223E"/>
    <w:rsid w:val="00415083"/>
    <w:rsid w:val="0044039C"/>
    <w:rsid w:val="004764EF"/>
    <w:rsid w:val="00487FB6"/>
    <w:rsid w:val="004A6D8C"/>
    <w:rsid w:val="0051567B"/>
    <w:rsid w:val="00516CBD"/>
    <w:rsid w:val="00524BA7"/>
    <w:rsid w:val="0055688C"/>
    <w:rsid w:val="00571D43"/>
    <w:rsid w:val="00575160"/>
    <w:rsid w:val="00582B97"/>
    <w:rsid w:val="00585ACD"/>
    <w:rsid w:val="00595750"/>
    <w:rsid w:val="005A2EFA"/>
    <w:rsid w:val="005A787A"/>
    <w:rsid w:val="005E748B"/>
    <w:rsid w:val="005F030B"/>
    <w:rsid w:val="00610A84"/>
    <w:rsid w:val="006644DC"/>
    <w:rsid w:val="00672364"/>
    <w:rsid w:val="00683E81"/>
    <w:rsid w:val="006A1931"/>
    <w:rsid w:val="006A29E2"/>
    <w:rsid w:val="006B1D8A"/>
    <w:rsid w:val="006B60B4"/>
    <w:rsid w:val="006C0DC4"/>
    <w:rsid w:val="00706F42"/>
    <w:rsid w:val="007447A0"/>
    <w:rsid w:val="00777D1B"/>
    <w:rsid w:val="007860AE"/>
    <w:rsid w:val="007877AB"/>
    <w:rsid w:val="007C66B6"/>
    <w:rsid w:val="007D784A"/>
    <w:rsid w:val="008267F8"/>
    <w:rsid w:val="00832FF0"/>
    <w:rsid w:val="00844061"/>
    <w:rsid w:val="008519F3"/>
    <w:rsid w:val="00880461"/>
    <w:rsid w:val="008C12CA"/>
    <w:rsid w:val="008C4EC3"/>
    <w:rsid w:val="00937D17"/>
    <w:rsid w:val="00940767"/>
    <w:rsid w:val="009508DB"/>
    <w:rsid w:val="0099795F"/>
    <w:rsid w:val="009B470E"/>
    <w:rsid w:val="009C4D0D"/>
    <w:rsid w:val="009D06C9"/>
    <w:rsid w:val="009F271A"/>
    <w:rsid w:val="009F3660"/>
    <w:rsid w:val="00A337FD"/>
    <w:rsid w:val="00A351B7"/>
    <w:rsid w:val="00A502B4"/>
    <w:rsid w:val="00A50FA3"/>
    <w:rsid w:val="00A54FE3"/>
    <w:rsid w:val="00A62961"/>
    <w:rsid w:val="00A83CED"/>
    <w:rsid w:val="00AA28ED"/>
    <w:rsid w:val="00AD0F61"/>
    <w:rsid w:val="00AF421E"/>
    <w:rsid w:val="00B02AFC"/>
    <w:rsid w:val="00B255A1"/>
    <w:rsid w:val="00B3484B"/>
    <w:rsid w:val="00B43710"/>
    <w:rsid w:val="00B75962"/>
    <w:rsid w:val="00B8631E"/>
    <w:rsid w:val="00BA1FB9"/>
    <w:rsid w:val="00BA3EF8"/>
    <w:rsid w:val="00BA57FA"/>
    <w:rsid w:val="00BE2BCC"/>
    <w:rsid w:val="00C14DD8"/>
    <w:rsid w:val="00C16C72"/>
    <w:rsid w:val="00C27EE1"/>
    <w:rsid w:val="00C40D7F"/>
    <w:rsid w:val="00C77CBE"/>
    <w:rsid w:val="00CB5428"/>
    <w:rsid w:val="00D05854"/>
    <w:rsid w:val="00D2134F"/>
    <w:rsid w:val="00D21554"/>
    <w:rsid w:val="00D646D0"/>
    <w:rsid w:val="00D810FF"/>
    <w:rsid w:val="00D84E6A"/>
    <w:rsid w:val="00DB775A"/>
    <w:rsid w:val="00DE042A"/>
    <w:rsid w:val="00DE3E0B"/>
    <w:rsid w:val="00E1702D"/>
    <w:rsid w:val="00E232D0"/>
    <w:rsid w:val="00E24D99"/>
    <w:rsid w:val="00E410A6"/>
    <w:rsid w:val="00E542A1"/>
    <w:rsid w:val="00E656F2"/>
    <w:rsid w:val="00E954EC"/>
    <w:rsid w:val="00EA3D3E"/>
    <w:rsid w:val="00EB04D2"/>
    <w:rsid w:val="00EE24DE"/>
    <w:rsid w:val="00EF0AB4"/>
    <w:rsid w:val="00EF6159"/>
    <w:rsid w:val="00F019B7"/>
    <w:rsid w:val="00F0241E"/>
    <w:rsid w:val="00F02467"/>
    <w:rsid w:val="00F0342B"/>
    <w:rsid w:val="00F2332A"/>
    <w:rsid w:val="00F26099"/>
    <w:rsid w:val="00F81054"/>
    <w:rsid w:val="00FA5ED7"/>
    <w:rsid w:val="00FB3DCB"/>
    <w:rsid w:val="00FB6863"/>
    <w:rsid w:val="00FB6C5D"/>
    <w:rsid w:val="00FC2EC4"/>
    <w:rsid w:val="00FD6438"/>
    <w:rsid w:val="00FE6464"/>
    <w:rsid w:val="00FF6551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2E6DE"/>
  <w15:chartTrackingRefBased/>
  <w15:docId w15:val="{D84F0ED6-93E6-4B05-93A3-0636B5B0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D7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487FB6"/>
    <w:pPr>
      <w:keepNext/>
      <w:tabs>
        <w:tab w:val="left" w:pos="6495"/>
      </w:tabs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B470E"/>
    <w:pPr>
      <w:ind w:left="720"/>
      <w:contextualSpacing/>
    </w:pPr>
  </w:style>
  <w:style w:type="paragraph" w:customStyle="1" w:styleId="Default">
    <w:name w:val="Default"/>
    <w:rsid w:val="00706F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8C4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954E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54EC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rsid w:val="00487FB6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harChar1Char">
    <w:name w:val="Char Char1 Char"/>
    <w:basedOn w:val="Norml"/>
    <w:rsid w:val="00487FB6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semiHidden/>
    <w:unhideWhenUsed/>
    <w:rsid w:val="00487FB6"/>
    <w:pPr>
      <w:suppressAutoHyphens/>
      <w:spacing w:after="120"/>
    </w:pPr>
    <w:rPr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487F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5A2E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A2E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A2E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A2EF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E170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r.njt.hu/eli/731234/r/2010/28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27310-A80D-4B77-8432-3376B69CD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2083</Words>
  <Characters>14374</Characters>
  <Application>Microsoft Office Word</Application>
  <DocSecurity>0</DocSecurity>
  <Lines>119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Mádi Csaba</dc:creator>
  <cp:keywords/>
  <dc:description/>
  <cp:lastModifiedBy>Mádi Csaba</cp:lastModifiedBy>
  <cp:revision>4</cp:revision>
  <cp:lastPrinted>2025-09-10T09:05:00Z</cp:lastPrinted>
  <dcterms:created xsi:type="dcterms:W3CDTF">2025-10-07T08:57:00Z</dcterms:created>
  <dcterms:modified xsi:type="dcterms:W3CDTF">2025-10-07T12:21:00Z</dcterms:modified>
</cp:coreProperties>
</file>